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line="360" w:lineRule="auto"/>
        <w:ind w:left="575" w:firstLine="0"/>
        <w:jc w:val="center"/>
        <w:rPr>
          <w:rFonts w:ascii="Roboto Light" w:cs="Roboto Light" w:eastAsia="Roboto Light" w:hAnsi="Roboto Light"/>
          <w:b w:val="0"/>
          <w:i w:val="1"/>
          <w:sz w:val="22"/>
          <w:szCs w:val="22"/>
        </w:rPr>
      </w:pPr>
      <w:r w:rsidDel="00000000" w:rsidR="00000000" w:rsidRPr="00000000">
        <w:rPr>
          <w:rFonts w:ascii="Roboto" w:cs="Roboto" w:eastAsia="Roboto" w:hAnsi="Roboto"/>
          <w:b w:val="1"/>
          <w:i w:val="1"/>
          <w:sz w:val="22"/>
          <w:szCs w:val="22"/>
          <w:rtl w:val="0"/>
        </w:rPr>
        <w:t xml:space="preserve">REGULATION FOR THE CHOICE OF THE </w:t>
      </w:r>
      <w:r w:rsidDel="00000000" w:rsidR="00000000" w:rsidRPr="00000000">
        <w:rPr>
          <w:rFonts w:ascii="Roboto" w:cs="Roboto" w:eastAsia="Roboto" w:hAnsi="Roboto"/>
          <w:b w:val="1"/>
          <w:i w:val="1"/>
          <w:sz w:val="22"/>
          <w:szCs w:val="22"/>
          <w:rtl w:val="0"/>
        </w:rPr>
        <w:t xml:space="preserve">IOPD</w:t>
      </w:r>
      <w:r w:rsidDel="00000000" w:rsidR="00000000" w:rsidRPr="00000000">
        <w:rPr>
          <w:rFonts w:ascii="Roboto" w:cs="Roboto" w:eastAsia="Roboto" w:hAnsi="Roboto"/>
          <w:b w:val="1"/>
          <w:i w:val="1"/>
          <w:sz w:val="22"/>
          <w:szCs w:val="22"/>
          <w:rtl w:val="0"/>
        </w:rPr>
        <w:t xml:space="preserve"> PRESIDENCY AND HOST OF THE CONFERENCE 202</w:t>
      </w:r>
      <w:r w:rsidDel="00000000" w:rsidR="00000000" w:rsidRPr="00000000">
        <w:rPr>
          <w:rFonts w:ascii="Roboto" w:cs="Roboto" w:eastAsia="Roboto" w:hAnsi="Roboto"/>
          <w:b w:val="1"/>
          <w:i w:val="1"/>
          <w:sz w:val="22"/>
          <w:szCs w:val="22"/>
          <w:rtl w:val="0"/>
        </w:rPr>
        <w:t xml:space="preserve">5</w:t>
      </w:r>
      <w:r w:rsidDel="00000000" w:rsidR="00000000" w:rsidRPr="00000000">
        <w:rPr>
          <w:rtl w:val="0"/>
        </w:rPr>
      </w:r>
    </w:p>
    <w:p w:rsidR="00000000" w:rsidDel="00000000" w:rsidP="00000000" w:rsidRDefault="00000000" w:rsidRPr="00000000" w14:paraId="00000002">
      <w:pPr>
        <w:numPr>
          <w:ilvl w:val="0"/>
          <w:numId w:val="2"/>
        </w:numPr>
        <w:spacing w:after="200" w:line="360" w:lineRule="auto"/>
        <w:ind w:left="360" w:hanging="360"/>
        <w:jc w:val="both"/>
        <w:rPr>
          <w:rFonts w:ascii="Roboto" w:cs="Roboto" w:eastAsia="Roboto" w:hAnsi="Roboto"/>
          <w:b w:val="1"/>
        </w:rPr>
      </w:pPr>
      <w:r w:rsidDel="00000000" w:rsidR="00000000" w:rsidRPr="00000000">
        <w:rPr>
          <w:rFonts w:ascii="Roboto" w:cs="Roboto" w:eastAsia="Roboto" w:hAnsi="Roboto"/>
          <w:b w:val="1"/>
          <w:rtl w:val="0"/>
        </w:rPr>
        <w:t xml:space="preserve">INTRODUCTION</w:t>
      </w:r>
    </w:p>
    <w:p w:rsidR="00000000" w:rsidDel="00000000" w:rsidP="00000000" w:rsidRDefault="00000000" w:rsidRPr="00000000" w14:paraId="00000003">
      <w:pPr>
        <w:spacing w:after="200" w:line="36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The purpose of this document is to regulate the choice of the host city for the conference organised on an annual basis by the International Observatory on Participatory Democracy (IOPD). </w:t>
      </w:r>
    </w:p>
    <w:p w:rsidR="00000000" w:rsidDel="00000000" w:rsidP="00000000" w:rsidRDefault="00000000" w:rsidRPr="00000000" w14:paraId="00000004">
      <w:pPr>
        <w:spacing w:after="200" w:line="36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The </w:t>
      </w:r>
      <w:r w:rsidDel="00000000" w:rsidR="00000000" w:rsidRPr="00000000">
        <w:rPr>
          <w:rFonts w:ascii="Roboto Light" w:cs="Roboto Light" w:eastAsia="Roboto Light" w:hAnsi="Roboto Light"/>
          <w:rtl w:val="0"/>
        </w:rPr>
        <w:t xml:space="preserve">IOPD</w:t>
      </w:r>
      <w:r w:rsidDel="00000000" w:rsidR="00000000" w:rsidRPr="00000000">
        <w:rPr>
          <w:rFonts w:ascii="Roboto Light" w:cs="Roboto Light" w:eastAsia="Roboto Light" w:hAnsi="Roboto Light"/>
          <w:rtl w:val="0"/>
        </w:rPr>
        <w:t xml:space="preserve"> is an open space to all cities, local and regional governments and organisations aiming to find out about, exchange and apply experiences in participatory democracy at the local level. This main objective is materialised by holding an annual conference. This international event enables progress through debates on participation in local democracies and facilitates access to learning about projects from the involved cities. </w:t>
      </w:r>
    </w:p>
    <w:p w:rsidR="00000000" w:rsidDel="00000000" w:rsidP="00000000" w:rsidRDefault="00000000" w:rsidRPr="00000000" w14:paraId="00000005">
      <w:pPr>
        <w:spacing w:after="200" w:line="36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06">
      <w:pPr>
        <w:numPr>
          <w:ilvl w:val="0"/>
          <w:numId w:val="2"/>
        </w:numPr>
        <w:spacing w:after="200" w:line="360" w:lineRule="auto"/>
        <w:ind w:left="360" w:hanging="360"/>
        <w:jc w:val="both"/>
        <w:rPr>
          <w:rFonts w:ascii="Roboto" w:cs="Roboto" w:eastAsia="Roboto" w:hAnsi="Roboto"/>
          <w:b w:val="1"/>
        </w:rPr>
      </w:pPr>
      <w:r w:rsidDel="00000000" w:rsidR="00000000" w:rsidRPr="00000000">
        <w:rPr>
          <w:rFonts w:ascii="Roboto" w:cs="Roboto" w:eastAsia="Roboto" w:hAnsi="Roboto"/>
          <w:b w:val="1"/>
          <w:rtl w:val="0"/>
        </w:rPr>
        <w:t xml:space="preserve">PARTICIPANTS</w:t>
      </w:r>
    </w:p>
    <w:p w:rsidR="00000000" w:rsidDel="00000000" w:rsidP="00000000" w:rsidRDefault="00000000" w:rsidRPr="00000000" w14:paraId="00000007">
      <w:pPr>
        <w:spacing w:after="200" w:line="36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Any local or regional government member of the IOPD may submit a bid. A local or regional government non-member of the network can submit an application for membership and then apply to host the conference.</w:t>
      </w:r>
    </w:p>
    <w:p w:rsidR="00000000" w:rsidDel="00000000" w:rsidP="00000000" w:rsidRDefault="00000000" w:rsidRPr="00000000" w14:paraId="00000008">
      <w:pPr>
        <w:spacing w:after="200" w:line="36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In accordance with the principle of alternation in the cities where the conference is held, each year the host city should be from another continent. As the host of the 2024 International Conference will be a European city (Valongo, Portugal), the host of the 2025 Conference should preferably be from another region. </w:t>
      </w:r>
    </w:p>
    <w:p w:rsidR="00000000" w:rsidDel="00000000" w:rsidP="00000000" w:rsidRDefault="00000000" w:rsidRPr="00000000" w14:paraId="00000009">
      <w:pPr>
        <w:spacing w:after="200" w:line="36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0A">
      <w:pPr>
        <w:numPr>
          <w:ilvl w:val="0"/>
          <w:numId w:val="2"/>
        </w:numPr>
        <w:spacing w:after="200" w:line="360" w:lineRule="auto"/>
        <w:ind w:left="360" w:hanging="360"/>
        <w:jc w:val="both"/>
        <w:rPr>
          <w:rFonts w:ascii="Roboto" w:cs="Roboto" w:eastAsia="Roboto" w:hAnsi="Roboto"/>
        </w:rPr>
      </w:pPr>
      <w:r w:rsidDel="00000000" w:rsidR="00000000" w:rsidRPr="00000000">
        <w:rPr>
          <w:rFonts w:ascii="Roboto" w:cs="Roboto" w:eastAsia="Roboto" w:hAnsi="Roboto"/>
          <w:b w:val="1"/>
          <w:rtl w:val="0"/>
        </w:rPr>
        <w:t xml:space="preserve">BID</w:t>
      </w:r>
      <w:r w:rsidDel="00000000" w:rsidR="00000000" w:rsidRPr="00000000">
        <w:rPr>
          <w:rFonts w:ascii="Roboto Light" w:cs="Roboto Light" w:eastAsia="Roboto Light" w:hAnsi="Roboto Light"/>
          <w:rtl w:val="0"/>
        </w:rPr>
        <w:t xml:space="preserve"> </w:t>
      </w:r>
      <w:r w:rsidDel="00000000" w:rsidR="00000000" w:rsidRPr="00000000">
        <w:rPr>
          <w:rFonts w:ascii="Roboto" w:cs="Roboto" w:eastAsia="Roboto" w:hAnsi="Roboto"/>
          <w:b w:val="1"/>
          <w:rtl w:val="0"/>
        </w:rPr>
        <w:t xml:space="preserve">SUBMISSION</w:t>
      </w:r>
      <w:r w:rsidDel="00000000" w:rsidR="00000000" w:rsidRPr="00000000">
        <w:rPr>
          <w:rtl w:val="0"/>
        </w:rPr>
      </w:r>
    </w:p>
    <w:p w:rsidR="00000000" w:rsidDel="00000000" w:rsidP="00000000" w:rsidRDefault="00000000" w:rsidRPr="00000000" w14:paraId="0000000B">
      <w:pPr>
        <w:spacing w:after="200" w:line="36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Local and regional governments wishing to submit a bid must send the following documentation to the Technical Secretariat of the IOPD via e-mail to </w:t>
      </w:r>
      <w:hyperlink r:id="rId7">
        <w:r w:rsidDel="00000000" w:rsidR="00000000" w:rsidRPr="00000000">
          <w:rPr>
            <w:rFonts w:ascii="Roboto Light" w:cs="Roboto Light" w:eastAsia="Roboto Light" w:hAnsi="Roboto Light"/>
            <w:color w:val="1155cc"/>
            <w:u w:val="single"/>
            <w:rtl w:val="0"/>
          </w:rPr>
          <w:t xml:space="preserve">info@oidp.net</w:t>
        </w:r>
      </w:hyperlink>
      <w:r w:rsidDel="00000000" w:rsidR="00000000" w:rsidRPr="00000000">
        <w:rPr>
          <w:rFonts w:ascii="Roboto Light" w:cs="Roboto Light" w:eastAsia="Roboto Light" w:hAnsi="Roboto Light"/>
          <w:rtl w:val="0"/>
        </w:rPr>
        <w:t xml:space="preserve">:</w:t>
      </w:r>
    </w:p>
    <w:p w:rsidR="00000000" w:rsidDel="00000000" w:rsidP="00000000" w:rsidRDefault="00000000" w:rsidRPr="00000000" w14:paraId="0000000C">
      <w:pPr>
        <w:numPr>
          <w:ilvl w:val="0"/>
          <w:numId w:val="1"/>
        </w:numPr>
        <w:tabs>
          <w:tab w:val="left" w:leader="none" w:pos="720"/>
        </w:tabs>
        <w:spacing w:after="0" w:line="360" w:lineRule="auto"/>
        <w:ind w:left="720" w:hanging="360"/>
        <w:rPr>
          <w:rFonts w:ascii="Roboto Light" w:cs="Roboto Light" w:eastAsia="Roboto Light" w:hAnsi="Roboto Light"/>
          <w:u w:val="none"/>
        </w:rPr>
      </w:pPr>
      <w:r w:rsidDel="00000000" w:rsidR="00000000" w:rsidRPr="00000000">
        <w:rPr>
          <w:rFonts w:ascii="Roboto Light" w:cs="Roboto Light" w:eastAsia="Roboto Light" w:hAnsi="Roboto Light"/>
          <w:rtl w:val="0"/>
        </w:rPr>
        <w:t xml:space="preserve">A letter from the political head of the local government presenting the bid.</w:t>
      </w:r>
      <w:r w:rsidDel="00000000" w:rsidR="00000000" w:rsidRPr="00000000">
        <w:rPr>
          <w:rtl w:val="0"/>
        </w:rPr>
      </w:r>
    </w:p>
    <w:p w:rsidR="00000000" w:rsidDel="00000000" w:rsidP="00000000" w:rsidRDefault="00000000" w:rsidRPr="00000000" w14:paraId="0000000D">
      <w:pPr>
        <w:numPr>
          <w:ilvl w:val="0"/>
          <w:numId w:val="1"/>
        </w:numPr>
        <w:tabs>
          <w:tab w:val="left" w:leader="none" w:pos="720"/>
        </w:tabs>
        <w:spacing w:after="0" w:line="360" w:lineRule="auto"/>
        <w:ind w:left="720" w:hanging="360"/>
        <w:rPr>
          <w:rFonts w:ascii="Roboto Light" w:cs="Roboto Light" w:eastAsia="Roboto Light" w:hAnsi="Roboto Light"/>
          <w:u w:val="none"/>
        </w:rPr>
      </w:pPr>
      <w:r w:rsidDel="00000000" w:rsidR="00000000" w:rsidRPr="00000000">
        <w:rPr>
          <w:rFonts w:ascii="Roboto Light" w:cs="Roboto Light" w:eastAsia="Roboto Light" w:hAnsi="Roboto Light"/>
          <w:rtl w:val="0"/>
        </w:rPr>
        <w:t xml:space="preserve">General description of the proposed contents of the Conference (maximum two pages).</w:t>
      </w:r>
      <w:r w:rsidDel="00000000" w:rsidR="00000000" w:rsidRPr="00000000">
        <w:rPr>
          <w:rtl w:val="0"/>
        </w:rPr>
      </w:r>
    </w:p>
    <w:p w:rsidR="00000000" w:rsidDel="00000000" w:rsidP="00000000" w:rsidRDefault="00000000" w:rsidRPr="00000000" w14:paraId="0000000E">
      <w:pPr>
        <w:numPr>
          <w:ilvl w:val="0"/>
          <w:numId w:val="1"/>
        </w:numPr>
        <w:tabs>
          <w:tab w:val="left" w:leader="none" w:pos="720"/>
        </w:tabs>
        <w:spacing w:after="200" w:line="360" w:lineRule="auto"/>
        <w:ind w:left="720" w:hanging="360"/>
        <w:rPr>
          <w:rFonts w:ascii="Roboto Light" w:cs="Roboto Light" w:eastAsia="Roboto Light" w:hAnsi="Roboto Light"/>
          <w:u w:val="none"/>
        </w:rPr>
      </w:pPr>
      <w:r w:rsidDel="00000000" w:rsidR="00000000" w:rsidRPr="00000000">
        <w:rPr>
          <w:rFonts w:ascii="Roboto Light" w:cs="Roboto Light" w:eastAsia="Roboto Light" w:hAnsi="Roboto Light"/>
          <w:rtl w:val="0"/>
        </w:rPr>
        <w:t xml:space="preserve">General description of the technical and financial resources of the local government submitting the bid (maximum two pages).</w:t>
      </w:r>
      <w:r w:rsidDel="00000000" w:rsidR="00000000" w:rsidRPr="00000000">
        <w:rPr>
          <w:rtl w:val="0"/>
        </w:rPr>
      </w:r>
    </w:p>
    <w:p w:rsidR="00000000" w:rsidDel="00000000" w:rsidP="00000000" w:rsidRDefault="00000000" w:rsidRPr="00000000" w14:paraId="0000000F">
      <w:pPr>
        <w:spacing w:after="200" w:line="360" w:lineRule="auto"/>
        <w:jc w:val="both"/>
        <w:rPr>
          <w:rFonts w:ascii="Roboto" w:cs="Roboto" w:eastAsia="Roboto" w:hAnsi="Roboto"/>
          <w:b w:val="1"/>
          <w:highlight w:val="cyan"/>
          <w:u w:val="single"/>
        </w:rPr>
      </w:pPr>
      <w:bookmarkStart w:colFirst="0" w:colLast="0" w:name="_heading=h.gjdgxs" w:id="0"/>
      <w:bookmarkEnd w:id="0"/>
      <w:r w:rsidDel="00000000" w:rsidR="00000000" w:rsidRPr="00000000">
        <w:rPr>
          <w:rFonts w:ascii="Roboto Light" w:cs="Roboto Light" w:eastAsia="Roboto Light" w:hAnsi="Roboto Light"/>
          <w:rtl w:val="0"/>
        </w:rPr>
        <w:t xml:space="preserve">The deadline to submit the applications is 31 October 2023.</w:t>
      </w:r>
      <w:r w:rsidDel="00000000" w:rsidR="00000000" w:rsidRPr="00000000">
        <w:rPr>
          <w:rtl w:val="0"/>
        </w:rPr>
      </w:r>
    </w:p>
    <w:p w:rsidR="00000000" w:rsidDel="00000000" w:rsidP="00000000" w:rsidRDefault="00000000" w:rsidRPr="00000000" w14:paraId="00000010">
      <w:pPr>
        <w:spacing w:after="200" w:line="360" w:lineRule="auto"/>
        <w:ind w:left="360" w:firstLine="0"/>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11">
      <w:pPr>
        <w:spacing w:after="200" w:line="360" w:lineRule="auto"/>
        <w:ind w:left="360" w:firstLine="0"/>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12">
      <w:pPr>
        <w:numPr>
          <w:ilvl w:val="0"/>
          <w:numId w:val="2"/>
        </w:numPr>
        <w:spacing w:after="200" w:line="360" w:lineRule="auto"/>
        <w:ind w:left="360" w:hanging="360"/>
        <w:jc w:val="both"/>
        <w:rPr>
          <w:rFonts w:ascii="Roboto" w:cs="Roboto" w:eastAsia="Roboto" w:hAnsi="Roboto"/>
          <w:b w:val="1"/>
        </w:rPr>
      </w:pPr>
      <w:r w:rsidDel="00000000" w:rsidR="00000000" w:rsidRPr="00000000">
        <w:rPr>
          <w:rFonts w:ascii="Roboto" w:cs="Roboto" w:eastAsia="Roboto" w:hAnsi="Roboto"/>
          <w:b w:val="1"/>
          <w:rtl w:val="0"/>
        </w:rPr>
        <w:t xml:space="preserve">CHOICE OF THE 2025 HOST</w:t>
      </w:r>
    </w:p>
    <w:p w:rsidR="00000000" w:rsidDel="00000000" w:rsidP="00000000" w:rsidRDefault="00000000" w:rsidRPr="00000000" w14:paraId="00000013">
      <w:pPr>
        <w:spacing w:after="200" w:line="36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The election of the host city for the 2025 IOPD Conference will take place during the General Assembly, which will be held on 8 November 2023 in Rio de Janeiro. Candidate cities will have the opportunity to present their candidacy.</w:t>
      </w:r>
    </w:p>
    <w:p w:rsidR="00000000" w:rsidDel="00000000" w:rsidP="00000000" w:rsidRDefault="00000000" w:rsidRPr="00000000" w14:paraId="00000014">
      <w:pPr>
        <w:spacing w:after="200" w:line="36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The choice shall be made by consensus; if this consensus is not achieved, there shall be a vote. The electors will be the local and regional government members of the </w:t>
      </w:r>
      <w:r w:rsidDel="00000000" w:rsidR="00000000" w:rsidRPr="00000000">
        <w:rPr>
          <w:rFonts w:ascii="Roboto Light" w:cs="Roboto Light" w:eastAsia="Roboto Light" w:hAnsi="Roboto Light"/>
          <w:rtl w:val="0"/>
        </w:rPr>
        <w:t xml:space="preserve">IOPD</w:t>
      </w:r>
      <w:r w:rsidDel="00000000" w:rsidR="00000000" w:rsidRPr="00000000">
        <w:rPr>
          <w:rFonts w:ascii="Roboto Light" w:cs="Roboto Light" w:eastAsia="Roboto Light" w:hAnsi="Roboto Light"/>
          <w:rtl w:val="0"/>
        </w:rPr>
        <w:t xml:space="preserve"> accredited to the Assembly and may cast only one vote per local/regional government.</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00" w:line="360" w:lineRule="auto"/>
        <w:jc w:val="both"/>
        <w:rPr>
          <w:rFonts w:ascii="Roboto Light" w:cs="Roboto Light" w:eastAsia="Roboto Light" w:hAnsi="Roboto Light"/>
          <w:i w:val="1"/>
        </w:rPr>
      </w:pPr>
      <w:bookmarkStart w:colFirst="0" w:colLast="0" w:name="_heading=h.qgl2u5dq3h7d" w:id="1"/>
      <w:bookmarkEnd w:id="1"/>
      <w:r w:rsidDel="00000000" w:rsidR="00000000" w:rsidRPr="00000000">
        <w:rPr>
          <w:rFonts w:ascii="Roboto Light" w:cs="Roboto Light" w:eastAsia="Roboto Light" w:hAnsi="Roboto Light"/>
          <w:i w:val="1"/>
          <w:rtl w:val="0"/>
        </w:rPr>
        <w:t xml:space="preserve">* If no nominations are received by the deadline, the Assembly will discuss how and when to open a new call for nominations.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200" w:line="360" w:lineRule="auto"/>
        <w:jc w:val="both"/>
        <w:rPr>
          <w:rFonts w:ascii="Roboto Light" w:cs="Roboto Light" w:eastAsia="Roboto Light" w:hAnsi="Roboto Light"/>
        </w:rPr>
      </w:pPr>
      <w:bookmarkStart w:colFirst="0" w:colLast="0" w:name="_heading=h.7zw30wl1i3ha" w:id="2"/>
      <w:bookmarkEnd w:id="2"/>
      <w:r w:rsidDel="00000000" w:rsidR="00000000" w:rsidRPr="00000000">
        <w:rPr>
          <w:rtl w:val="0"/>
        </w:rPr>
      </w:r>
    </w:p>
    <w:p w:rsidR="00000000" w:rsidDel="00000000" w:rsidP="00000000" w:rsidRDefault="00000000" w:rsidRPr="00000000" w14:paraId="00000017">
      <w:pPr>
        <w:numPr>
          <w:ilvl w:val="0"/>
          <w:numId w:val="3"/>
        </w:numPr>
        <w:spacing w:after="200" w:line="360" w:lineRule="auto"/>
        <w:ind w:left="360" w:hanging="360"/>
        <w:jc w:val="both"/>
        <w:rPr>
          <w:rFonts w:ascii="Roboto" w:cs="Roboto" w:eastAsia="Roboto" w:hAnsi="Roboto"/>
          <w:b w:val="1"/>
        </w:rPr>
      </w:pPr>
      <w:r w:rsidDel="00000000" w:rsidR="00000000" w:rsidRPr="00000000">
        <w:rPr>
          <w:rFonts w:ascii="Roboto" w:cs="Roboto" w:eastAsia="Roboto" w:hAnsi="Roboto"/>
          <w:b w:val="1"/>
          <w:rtl w:val="0"/>
        </w:rPr>
        <w:t xml:space="preserve">ACCEPTANCE</w:t>
      </w:r>
      <w:r w:rsidDel="00000000" w:rsidR="00000000" w:rsidRPr="00000000">
        <w:rPr>
          <w:rtl w:val="0"/>
        </w:rPr>
      </w:r>
    </w:p>
    <w:p w:rsidR="00000000" w:rsidDel="00000000" w:rsidP="00000000" w:rsidRDefault="00000000" w:rsidRPr="00000000" w14:paraId="00000018">
      <w:pPr>
        <w:spacing w:after="200" w:line="36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The city that agrees to host the annual conference will also be appointed President of the IOPD for 2025 and Co-President in 2026. In relation to the organisation of the conference, it undertakes </w:t>
      </w:r>
      <w:r w:rsidDel="00000000" w:rsidR="00000000" w:rsidRPr="00000000">
        <w:rPr>
          <w:rFonts w:ascii="Roboto Light" w:cs="Roboto Light" w:eastAsia="Roboto Light" w:hAnsi="Roboto Light"/>
          <w:u w:val="single"/>
          <w:rtl w:val="0"/>
        </w:rPr>
        <w:t xml:space="preserve">to defray all the financial costs</w:t>
      </w:r>
      <w:r w:rsidDel="00000000" w:rsidR="00000000" w:rsidRPr="00000000">
        <w:rPr>
          <w:rFonts w:ascii="Roboto Light" w:cs="Roboto Light" w:eastAsia="Roboto Light" w:hAnsi="Roboto Light"/>
          <w:rtl w:val="0"/>
        </w:rPr>
        <w:t xml:space="preserve">, prepare the contents and logistics of the event, in cooperation with the Technical Secretariat, which reports to the UCLG World Secretariat, and the city of Barcelona. It will also participate in IOPD activities that require the presence of the presidency of the network.</w:t>
      </w:r>
    </w:p>
    <w:p w:rsidR="00000000" w:rsidDel="00000000" w:rsidP="00000000" w:rsidRDefault="00000000" w:rsidRPr="00000000" w14:paraId="00000019">
      <w:pPr>
        <w:spacing w:after="200" w:line="36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It is recommended to read the terms of reference where the requirements involved in organising the conference are detailed.</w:t>
      </w:r>
    </w:p>
    <w:p w:rsidR="00000000" w:rsidDel="00000000" w:rsidP="00000000" w:rsidRDefault="00000000" w:rsidRPr="00000000" w14:paraId="0000001A">
      <w:pPr>
        <w:spacing w:after="200" w:line="36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It is recommended that you read the IOPD Internal Regulation, where you will find a specific section on the duties of the chair.</w:t>
      </w:r>
    </w:p>
    <w:p w:rsidR="00000000" w:rsidDel="00000000" w:rsidP="00000000" w:rsidRDefault="00000000" w:rsidRPr="00000000" w14:paraId="0000001B">
      <w:pPr>
        <w:spacing w:after="200" w:line="360" w:lineRule="auto"/>
        <w:jc w:val="both"/>
        <w:rPr>
          <w:rFonts w:ascii="Roboto Light" w:cs="Roboto Light" w:eastAsia="Roboto Light" w:hAnsi="Roboto Light"/>
        </w:rPr>
      </w:pPr>
      <w:r w:rsidDel="00000000" w:rsidR="00000000" w:rsidRPr="00000000">
        <w:rPr>
          <w:rtl w:val="0"/>
        </w:rPr>
      </w:r>
    </w:p>
    <w:sectPr>
      <w:headerReference r:id="rId8" w:type="default"/>
      <w:footerReference r:id="rId9" w:type="default"/>
      <w:pgSz w:h="16838" w:w="11906" w:orient="portrait"/>
      <w:pgMar w:bottom="1985" w:top="1418"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Light" w:cs="Roboto Light" w:eastAsia="Roboto Light" w:hAnsi="Roboto Light"/>
        <w:i w:val="0"/>
        <w:smallCaps w:val="0"/>
        <w:strike w:val="0"/>
        <w:color w:val="000000"/>
        <w:sz w:val="20"/>
        <w:szCs w:val="20"/>
        <w:u w:val="none"/>
        <w:shd w:fill="auto" w:val="clear"/>
        <w:vertAlign w:val="baseline"/>
      </w:rPr>
    </w:pPr>
    <w:hyperlink r:id="rId1">
      <w:r w:rsidDel="00000000" w:rsidR="00000000" w:rsidRPr="00000000">
        <w:rPr>
          <w:rFonts w:ascii="Roboto Light" w:cs="Roboto Light" w:eastAsia="Roboto Light" w:hAnsi="Roboto Light"/>
          <w:color w:val="1155cc"/>
          <w:u w:val="single"/>
          <w:rtl w:val="0"/>
        </w:rPr>
        <w:t xml:space="preserve">www.oidp.net/en</w:t>
      </w:r>
    </w:hyperlink>
    <w:r w:rsidDel="00000000" w:rsidR="00000000" w:rsidRPr="00000000">
      <w:rPr>
        <w:rFonts w:ascii="Roboto Light" w:cs="Roboto Light" w:eastAsia="Roboto Light" w:hAnsi="Roboto Light"/>
        <w:i w:val="0"/>
        <w:smallCaps w:val="0"/>
        <w:strike w:val="0"/>
        <w:color w:val="000000"/>
        <w:sz w:val="20"/>
        <w:szCs w:val="20"/>
        <w:u w:val="none"/>
        <w:shd w:fill="auto" w:val="clear"/>
        <w:vertAlign w:val="baseline"/>
        <w:rtl w:val="0"/>
      </w:rPr>
      <w:tab/>
      <w:tab/>
    </w:r>
    <w:hyperlink r:id="rId2">
      <w:r w:rsidDel="00000000" w:rsidR="00000000" w:rsidRPr="00000000">
        <w:rPr>
          <w:rFonts w:ascii="Roboto Light" w:cs="Roboto Light" w:eastAsia="Roboto Light" w:hAnsi="Roboto Light"/>
          <w:color w:val="1155cc"/>
          <w:u w:val="single"/>
          <w:rtl w:val="0"/>
        </w:rPr>
        <w:t xml:space="preserve">info@oidp.net</w:t>
      </w:r>
    </w:hyperlink>
    <w:r w:rsidDel="00000000" w:rsidR="00000000" w:rsidRPr="00000000">
      <w:rPr>
        <w:rFonts w:ascii="Roboto Light" w:cs="Roboto Light" w:eastAsia="Roboto Light" w:hAnsi="Roboto Light"/>
        <w:i w:val="0"/>
        <w:smallCaps w:val="0"/>
        <w:strike w:val="0"/>
        <w:color w:val="000000"/>
        <w:sz w:val="20"/>
        <w:szCs w:val="20"/>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2084233</wp:posOffset>
          </wp:positionH>
          <wp:positionV relativeFrom="paragraph">
            <wp:posOffset>-9520</wp:posOffset>
          </wp:positionV>
          <wp:extent cx="1590358" cy="474471"/>
          <wp:effectExtent b="0" l="0" r="0" t="0"/>
          <wp:wrapTopAndBottom distB="114300" distT="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90358" cy="47447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60" w:hanging="360"/>
      </w:pPr>
      <w:rPr>
        <w:rFonts w:ascii="Arial" w:cs="Arial" w:eastAsia="Arial" w:hAnsi="Arial"/>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5"/>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84"/>
      <w:jc w:val="center"/>
    </w:pPr>
    <w:rPr>
      <w:rFonts w:ascii="Arial" w:cs="Arial" w:eastAsia="Arial" w:hAnsi="Arial"/>
      <w:b w:val="1"/>
      <w:sz w:val="22"/>
      <w:szCs w:val="22"/>
    </w:rPr>
  </w:style>
  <w:style w:type="paragraph" w:styleId="Heading2">
    <w:name w:val="heading 2"/>
    <w:basedOn w:val="Normal"/>
    <w:next w:val="Normal"/>
    <w:pPr>
      <w:keepNext w:val="1"/>
      <w:ind w:left="576" w:hanging="576"/>
      <w:jc w:val="center"/>
    </w:pPr>
    <w:rPr>
      <w:rFonts w:ascii="Verdana" w:cs="Verdana" w:eastAsia="Verdana" w:hAnsi="Verdana"/>
      <w:b w:val="1"/>
      <w:color w:val="0000ff"/>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284"/>
      <w:jc w:val="center"/>
    </w:pPr>
    <w:rPr>
      <w:rFonts w:ascii="Arial" w:cs="Arial" w:eastAsia="Arial" w:hAnsi="Arial"/>
      <w:b w:val="1"/>
      <w:sz w:val="22"/>
      <w:szCs w:val="22"/>
    </w:rPr>
  </w:style>
  <w:style w:type="paragraph" w:styleId="Heading2">
    <w:name w:val="heading 2"/>
    <w:basedOn w:val="Normal"/>
    <w:next w:val="Normal"/>
    <w:pPr>
      <w:keepNext w:val="1"/>
      <w:ind w:left="576" w:hanging="576"/>
      <w:jc w:val="center"/>
    </w:pPr>
    <w:rPr>
      <w:rFonts w:ascii="Verdana" w:cs="Verdana" w:eastAsia="Verdana" w:hAnsi="Verdana"/>
      <w:b w:val="1"/>
      <w:color w:val="0000ff"/>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284"/>
      <w:jc w:val="center"/>
    </w:pPr>
    <w:rPr>
      <w:rFonts w:ascii="Arial" w:cs="Arial" w:eastAsia="Arial" w:hAnsi="Arial"/>
      <w:b w:val="1"/>
      <w:sz w:val="22"/>
      <w:szCs w:val="22"/>
    </w:rPr>
  </w:style>
  <w:style w:type="paragraph" w:styleId="Heading2">
    <w:name w:val="heading 2"/>
    <w:basedOn w:val="Normal"/>
    <w:next w:val="Normal"/>
    <w:pPr>
      <w:keepNext w:val="1"/>
      <w:ind w:left="576" w:hanging="576"/>
      <w:jc w:val="center"/>
    </w:pPr>
    <w:rPr>
      <w:rFonts w:ascii="Verdana" w:cs="Verdana" w:eastAsia="Verdana" w:hAnsi="Verdana"/>
      <w:b w:val="1"/>
      <w:color w:val="0000ff"/>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284"/>
      <w:jc w:val="center"/>
    </w:pPr>
    <w:rPr>
      <w:rFonts w:ascii="Arial" w:cs="Arial" w:eastAsia="Arial" w:hAnsi="Arial"/>
      <w:b w:val="1"/>
      <w:sz w:val="22"/>
      <w:szCs w:val="22"/>
    </w:rPr>
  </w:style>
  <w:style w:type="paragraph" w:styleId="Heading2">
    <w:name w:val="heading 2"/>
    <w:basedOn w:val="Normal"/>
    <w:next w:val="Normal"/>
    <w:pPr>
      <w:keepNext w:val="1"/>
      <w:ind w:left="576" w:hanging="576"/>
      <w:jc w:val="center"/>
    </w:pPr>
    <w:rPr>
      <w:rFonts w:ascii="Verdana" w:cs="Verdana" w:eastAsia="Verdana" w:hAnsi="Verdana"/>
      <w:b w:val="1"/>
      <w:color w:val="0000ff"/>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ind w:left="284"/>
      <w:jc w:val="center"/>
      <w:outlineLvl w:val="0"/>
    </w:pPr>
    <w:rPr>
      <w:rFonts w:ascii="Arial" w:cs="Arial" w:eastAsia="Arial" w:hAnsi="Arial"/>
      <w:b w:val="1"/>
      <w:sz w:val="22"/>
      <w:szCs w:val="22"/>
    </w:rPr>
  </w:style>
  <w:style w:type="paragraph" w:styleId="Ttulo2">
    <w:name w:val="heading 2"/>
    <w:basedOn w:val="Normal"/>
    <w:next w:val="Normal"/>
    <w:pPr>
      <w:keepNext w:val="1"/>
      <w:ind w:left="576" w:hanging="576"/>
      <w:jc w:val="center"/>
      <w:outlineLvl w:val="1"/>
    </w:pPr>
    <w:rPr>
      <w:rFonts w:ascii="Verdana" w:cs="Verdana" w:eastAsia="Verdana" w:hAnsi="Verdana"/>
      <w:b w:val="1"/>
      <w:color w:val="0000ff"/>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DF77C9"/>
    <w:pPr>
      <w:tabs>
        <w:tab w:val="center" w:pos="4680"/>
        <w:tab w:val="right" w:pos="9360"/>
      </w:tabs>
    </w:pPr>
  </w:style>
  <w:style w:type="character" w:styleId="EncabezadoCar" w:customStyle="1">
    <w:name w:val="Encabezado Car"/>
    <w:basedOn w:val="Fuentedeprrafopredeter"/>
    <w:link w:val="Encabezado"/>
    <w:uiPriority w:val="99"/>
    <w:rsid w:val="00DF77C9"/>
  </w:style>
  <w:style w:type="paragraph" w:styleId="Piedepgina">
    <w:name w:val="footer"/>
    <w:basedOn w:val="Normal"/>
    <w:link w:val="PiedepginaCar"/>
    <w:uiPriority w:val="99"/>
    <w:unhideWhenUsed w:val="1"/>
    <w:rsid w:val="00DF77C9"/>
    <w:pPr>
      <w:tabs>
        <w:tab w:val="center" w:pos="4680"/>
        <w:tab w:val="right" w:pos="9360"/>
      </w:tabs>
    </w:pPr>
  </w:style>
  <w:style w:type="character" w:styleId="PiedepginaCar" w:customStyle="1">
    <w:name w:val="Pie de página Car"/>
    <w:basedOn w:val="Fuentedeprrafopredeter"/>
    <w:link w:val="Piedepgina"/>
    <w:uiPriority w:val="99"/>
    <w:rsid w:val="00DF77C9"/>
  </w:style>
  <w:style w:type="character" w:styleId="Hipervnculo">
    <w:name w:val="Hyperlink"/>
    <w:basedOn w:val="Fuentedeprrafopredeter"/>
    <w:uiPriority w:val="99"/>
    <w:unhideWhenUsed w:val="1"/>
    <w:rsid w:val="00DF77C9"/>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oidp.ne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oidp.net/en" TargetMode="External"/><Relationship Id="rId2" Type="http://schemas.openxmlformats.org/officeDocument/2006/relationships/hyperlink" Target="mailto:info@oidp.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xpb0NenWVMFwul7nz1gF88vuCQ==">CgMxLjAyCGguZ2pkZ3hzMg5oLnFnbDJ1NWRxM2g3ZDIOaC43enczMHdsMWkzaGE4AHIhMUNKY2xwazhKc1ZSREJ4eDFDOUdNVGVZTWNxXzhUbHpY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2018-09-03T10:53:00Z</dcterms:created>
  <dc:creator>Adrià Duarte</dc:creator>
</cp:coreProperties>
</file>