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32"/>
          <w:szCs w:val="32"/>
        </w:rPr>
      </w:pPr>
      <w:bookmarkStart w:colFirst="0" w:colLast="0" w:name="_heading=h.kxxt4mxyng9i" w:id="0"/>
      <w:bookmarkEnd w:id="0"/>
      <w:r w:rsidDel="00000000" w:rsidR="00000000" w:rsidRPr="00000000">
        <w:rPr>
          <w:rFonts w:ascii="Calibri" w:cs="Calibri" w:eastAsia="Calibri" w:hAnsi="Calibri"/>
          <w:color w:val="141414"/>
          <w:sz w:val="32"/>
          <w:szCs w:val="32"/>
          <w:rtl w:val="0"/>
        </w:rPr>
        <w:t xml:space="preserve">Formulaire de candidature au </w:t>
      </w:r>
      <w:r w:rsidDel="00000000" w:rsidR="00000000" w:rsidRPr="00000000">
        <w:rPr>
          <w:rFonts w:ascii="Calibri" w:cs="Calibri" w:eastAsia="Calibri" w:hAnsi="Calibri"/>
          <w:b w:val="1"/>
          <w:bCs w:val="1"/>
          <w:color w:val="141414"/>
          <w:sz w:val="32"/>
          <w:szCs w:val="32"/>
          <w:rtl w:val="0"/>
        </w:rPr>
        <w:t xml:space="preserve">Prix spécial de l’OIDP pour une gouvernance responsable et participative de l’IA</w:t>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-47624</wp:posOffset>
                </wp:positionH>
                <wp:positionV relativeFrom="paragraph">
                  <wp:posOffset>152028</wp:posOffset>
                </wp:positionV>
                <wp:extent cx="660400" cy="660400"/>
                <wp:effectExtent b="0" l="0" r="0" t="0"/>
                <wp:wrapNone/>
                <wp:docPr id="9"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-47624</wp:posOffset>
                </wp:positionH>
                <wp:positionV relativeFrom="paragraph">
                  <wp:posOffset>152028</wp:posOffset>
                </wp:positionV>
                <wp:extent cx="660400" cy="660400"/>
                <wp:effectExtent b="0" l="0" r="0" t="0"/>
                <wp:wrapNone/>
                <wp:docPr id="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0400" cy="660400"/>
                        </a:xfrm>
                        <a:prstGeom prst="rect"/>
                        <a:ln/>
                      </pic:spPr>
                    </pic:pic>
                  </a:graphicData>
                </a:graphic>
              </wp:anchor>
            </w:drawing>
          </mc:Fallback>
        </mc:AlternateConten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Langue : FRANÇAIS</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bookmarkStart w:colFirst="0" w:colLast="0" w:name="_heading=h.z96b6vm4p9lp" w:id="1"/>
      <w:bookmarkEnd w:id="1"/>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120" w:lineRule="auto"/>
        <w:jc w:val="both"/>
        <w:rPr>
          <w:rFonts w:ascii="Calibri" w:cs="Calibri" w:eastAsia="Calibri" w:hAnsi="Calibri"/>
          <w:color w:val="b85c00"/>
          <w:sz w:val="40"/>
          <w:szCs w:val="40"/>
        </w:rPr>
      </w:pPr>
      <w:r w:rsidDel="00000000" w:rsidR="00000000" w:rsidRPr="00000000">
        <w:rPr>
          <w:rFonts w:ascii="Calibri" w:cs="Calibri" w:eastAsia="Calibri" w:hAnsi="Calibri"/>
          <w:color w:val="b85c00"/>
          <w:sz w:val="26"/>
          <w:szCs w:val="26"/>
          <w:rtl w:val="0"/>
        </w:rPr>
        <w:t xml:space="preserve">PARTIE 1 : INFORMATIONS GÉNÉRALES </w:t>
      </w:r>
      <w:r w:rsidDel="00000000" w:rsidR="00000000" w:rsidRPr="00000000">
        <w:rPr>
          <w:rtl w:val="0"/>
        </w:rPr>
      </w:r>
    </w:p>
    <w:p w:rsidR="00000000" w:rsidDel="00000000" w:rsidP="00000000" w:rsidRDefault="00000000" w:rsidRPr="00000000" w14:paraId="00000009">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b w:val="1"/>
          <w:bCs w:val="1"/>
          <w:color w:val="141414"/>
          <w:sz w:val="20"/>
          <w:szCs w:val="20"/>
          <w:rtl w:val="0"/>
        </w:rPr>
        <w:t xml:space="preserve">Coordonnées de la personne de contact pour la pratique :</w:t>
      </w:r>
      <w:r w:rsidDel="00000000" w:rsidR="00000000" w:rsidRPr="00000000">
        <w:rPr>
          <w:rFonts w:ascii="Calibri" w:cs="Calibri" w:eastAsia="Calibri" w:hAnsi="Calibri"/>
          <w:color w:val="141414"/>
          <w:sz w:val="20"/>
          <w:szCs w:val="20"/>
          <w:rtl w:val="0"/>
        </w:rPr>
        <w:t xml:space="preserve"> </w:t>
      </w:r>
      <w:r w:rsidDel="00000000" w:rsidR="00000000" w:rsidRPr="00000000">
        <w:rPr>
          <w:rFonts w:ascii="Calibri" w:cs="Calibri" w:eastAsia="Calibri" w:hAnsi="Calibri"/>
          <w:i w:val="1"/>
          <w:iCs w:val="1"/>
          <w:color w:val="141414"/>
          <w:sz w:val="20"/>
          <w:szCs w:val="20"/>
          <w:rtl w:val="0"/>
        </w:rPr>
        <w:t xml:space="preserve">(ces informations ne seront ni communiquées ni publiées).</w:t>
      </w:r>
      <w:r w:rsidDel="00000000" w:rsidR="00000000" w:rsidRPr="00000000">
        <w:rPr>
          <w:rtl w:val="0"/>
        </w:rPr>
      </w:r>
    </w:p>
    <w:tbl>
      <w:tblPr>
        <w:tblStyle w:val="Table1"/>
        <w:tblW w:w="9630.0" w:type="dxa"/>
        <w:jc w:val="left"/>
        <w:tblInd w:w="-151.0" w:type="dxa"/>
        <w:tblLayout w:type="fixed"/>
        <w:tblLook w:val="0400"/>
      </w:tblPr>
      <w:tblGrid>
        <w:gridCol w:w="9630"/>
        <w:tblGridChange w:id="0">
          <w:tblGrid>
            <w:gridCol w:w="963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A">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Nom(s) de la/des personne(s) de contact :</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B">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Fonction(s) de la/des personne(s) de contact :</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C">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Téléphone :</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D">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b w:val="1"/>
                <w:bCs w:val="1"/>
                <w:color w:val="141414"/>
                <w:sz w:val="20"/>
                <w:szCs w:val="20"/>
                <w:rtl w:val="0"/>
              </w:rPr>
              <w:t xml:space="preserve">Courriel </w:t>
            </w:r>
            <w:r w:rsidDel="00000000" w:rsidR="00000000" w:rsidRPr="00000000">
              <w:rPr>
                <w:rFonts w:ascii="Calibri" w:cs="Calibri" w:eastAsia="Calibri" w:hAnsi="Calibri"/>
                <w:color w:val="141414"/>
                <w:sz w:val="20"/>
                <w:szCs w:val="20"/>
                <w:rtl w:val="0"/>
              </w:rPr>
              <w:t xml:space="preserve">: </w:t>
            </w:r>
            <w:r w:rsidDel="00000000" w:rsidR="00000000" w:rsidRPr="00000000">
              <w:rPr>
                <w:rFonts w:ascii="Calibri" w:cs="Calibri" w:eastAsia="Calibri" w:hAnsi="Calibri"/>
                <w:i w:val="1"/>
                <w:iCs w:val="1"/>
                <w:color w:val="141414"/>
                <w:sz w:val="20"/>
                <w:szCs w:val="20"/>
                <w:rtl w:val="0"/>
              </w:rPr>
              <w:t xml:space="preserve">(vous pouvez indiquer plusieurs adresses de votre équipe)</w:t>
            </w:r>
            <w:r w:rsidDel="00000000" w:rsidR="00000000" w:rsidRPr="00000000">
              <w:rPr>
                <w:rtl w:val="0"/>
              </w:rPr>
            </w:r>
          </w:p>
        </w:tc>
      </w:tr>
    </w:tbl>
    <w:p w:rsidR="00000000" w:rsidDel="00000000" w:rsidP="00000000" w:rsidRDefault="00000000" w:rsidRPr="00000000" w14:paraId="0000000E">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0F">
      <w:pPr>
        <w:shd w:fill="ffffff" w:val="clear"/>
        <w:spacing w:after="160" w:line="254" w:lineRule="auto"/>
        <w:rPr>
          <w:rFonts w:ascii="Calibri" w:cs="Calibri" w:eastAsia="Calibri" w:hAnsi="Calibri"/>
          <w:i w:val="1"/>
          <w:iCs w:val="1"/>
          <w:color w:val="222222"/>
          <w:sz w:val="24"/>
          <w:szCs w:val="24"/>
        </w:rPr>
      </w:pPr>
      <w:r w:rsidDel="00000000" w:rsidR="00000000" w:rsidRPr="00000000">
        <w:rPr>
          <w:rFonts w:ascii="Calibri" w:cs="Calibri" w:eastAsia="Calibri" w:hAnsi="Calibri"/>
          <w:color w:val="141414"/>
          <w:sz w:val="18"/>
          <w:szCs w:val="18"/>
          <w:rtl w:val="0"/>
        </w:rPr>
        <w:t xml:space="preserve">1</w:t>
      </w:r>
      <w:r w:rsidDel="00000000" w:rsidR="00000000" w:rsidRPr="00000000">
        <w:rPr>
          <w:rFonts w:ascii="Calibri" w:cs="Calibri" w:eastAsia="Calibri" w:hAnsi="Calibri"/>
          <w:color w:val="141414"/>
          <w:sz w:val="20"/>
          <w:szCs w:val="20"/>
          <w:rtl w:val="0"/>
        </w:rPr>
        <w:t xml:space="preserve">. </w:t>
      </w:r>
      <w:r w:rsidDel="00000000" w:rsidR="00000000" w:rsidRPr="00000000">
        <w:rPr>
          <w:rFonts w:ascii="Calibri" w:cs="Calibri" w:eastAsia="Calibri" w:hAnsi="Calibri"/>
          <w:b w:val="1"/>
          <w:bCs w:val="1"/>
          <w:color w:val="141414"/>
          <w:sz w:val="20"/>
          <w:szCs w:val="20"/>
          <w:rtl w:val="0"/>
        </w:rPr>
        <w:t xml:space="preserve">TYPE DE GOUVERNEMENT DANS LEQUEL L’EXPÉRIENCE EST MENÉE </w:t>
      </w:r>
      <w:r w:rsidDel="00000000" w:rsidR="00000000" w:rsidRPr="00000000">
        <w:rPr>
          <w:rFonts w:ascii="Calibri" w:cs="Calibri" w:eastAsia="Calibri" w:hAnsi="Calibri"/>
          <w:color w:val="141414"/>
          <w:sz w:val="20"/>
          <w:szCs w:val="20"/>
          <w:rtl w:val="0"/>
        </w:rPr>
        <w:t xml:space="preserve">:</w:t>
      </w:r>
      <w:r w:rsidDel="00000000" w:rsidR="00000000" w:rsidRPr="00000000">
        <w:rPr>
          <w:rFonts w:ascii="Calibri" w:cs="Calibri" w:eastAsia="Calibri" w:hAnsi="Calibri"/>
          <w:i w:val="1"/>
          <w:iCs w:val="1"/>
          <w:color w:val="141414"/>
          <w:sz w:val="20"/>
          <w:szCs w:val="20"/>
          <w:rtl w:val="0"/>
        </w:rPr>
        <w:t xml:space="preserve"> choisissez une seule réponse.</w:t>
      </w:r>
      <w:r w:rsidDel="00000000" w:rsidR="00000000" w:rsidRPr="00000000">
        <w:rPr>
          <w:rtl w:val="0"/>
        </w:rPr>
      </w:r>
    </w:p>
    <w:tbl>
      <w:tblPr>
        <w:tblStyle w:val="Table2"/>
        <w:tblW w:w="9420.0" w:type="dxa"/>
        <w:jc w:val="left"/>
        <w:tblInd w:w="-100.0" w:type="dxa"/>
        <w:tblLayout w:type="fixed"/>
        <w:tblLook w:val="0400"/>
      </w:tblPr>
      <w:tblGrid>
        <w:gridCol w:w="7439"/>
        <w:gridCol w:w="1981"/>
        <w:tblGridChange w:id="0">
          <w:tblGrid>
            <w:gridCol w:w="7439"/>
            <w:gridCol w:w="198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0">
            <w:pPr>
              <w:widowControl w:val="0"/>
              <w:rPr>
                <w:rFonts w:ascii="Calibri" w:cs="Calibri" w:eastAsia="Calibri" w:hAnsi="Calibri"/>
                <w:color w:val="222222"/>
                <w:sz w:val="24"/>
                <w:szCs w:val="24"/>
              </w:rPr>
            </w:pPr>
            <w:r w:rsidDel="00000000" w:rsidR="00000000" w:rsidRPr="00000000">
              <w:rPr>
                <w:rFonts w:ascii="Calibri" w:cs="Calibri" w:eastAsia="Calibri" w:hAnsi="Calibri"/>
                <w:b w:val="1"/>
                <w:bCs w:val="1"/>
                <w:color w:val="141414"/>
                <w:sz w:val="20"/>
                <w:szCs w:val="20"/>
                <w:rtl w:val="0"/>
              </w:rPr>
              <w:t xml:space="preserve">A) Jusqu’à 50 000 habitants </w:t>
            </w:r>
            <w:r w:rsidDel="00000000" w:rsidR="00000000" w:rsidRPr="00000000">
              <w:rPr>
                <w:rFonts w:ascii="Calibri" w:cs="Calibri" w:eastAsia="Calibri" w:hAnsi="Calibri"/>
                <w:color w:val="141414"/>
                <w:sz w:val="20"/>
                <w:szCs w:val="20"/>
                <w:rtl w:val="0"/>
              </w:rPr>
              <w:t xml:space="preserve">(bourgs, petites villes, zones rurales).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1">
            <w:pPr>
              <w:widowControl w:val="0"/>
              <w:rPr>
                <w:rFonts w:ascii="Calibri" w:cs="Calibri" w:eastAsia="Calibri" w:hAnsi="Calibri"/>
                <w:b w:val="1"/>
                <w:bCs w:val="1"/>
                <w:color w:val="222222"/>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widowControl w:val="0"/>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141414"/>
                <w:sz w:val="20"/>
                <w:szCs w:val="20"/>
                <w:rtl w:val="0"/>
              </w:rPr>
              <w:t xml:space="preserve">B) Villes de 50 000 à 250 000 habitants.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widowControl w:val="0"/>
              <w:rPr>
                <w:rFonts w:ascii="Calibri" w:cs="Calibri" w:eastAsia="Calibri" w:hAnsi="Calibri"/>
                <w:b w:val="1"/>
                <w:bCs w:val="1"/>
                <w:color w:val="222222"/>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widowControl w:val="0"/>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141414"/>
                <w:sz w:val="20"/>
                <w:szCs w:val="20"/>
                <w:rtl w:val="0"/>
              </w:rPr>
              <w:t xml:space="preserve">C) Villes de 250 000 à 1 000 000 d’habitants.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widowControl w:val="0"/>
              <w:rPr>
                <w:rFonts w:ascii="Calibri" w:cs="Calibri" w:eastAsia="Calibri" w:hAnsi="Calibri"/>
                <w:b w:val="1"/>
                <w:bCs w:val="1"/>
                <w:color w:val="222222"/>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widowControl w:val="0"/>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141414"/>
                <w:sz w:val="20"/>
                <w:szCs w:val="20"/>
                <w:rtl w:val="0"/>
              </w:rPr>
              <w:t xml:space="preserve">D) Grandes villes ou agglomérations de plus de 1 000 000 d’habitants.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widowControl w:val="0"/>
              <w:rPr>
                <w:rFonts w:ascii="Calibri" w:cs="Calibri" w:eastAsia="Calibri" w:hAnsi="Calibri"/>
                <w:b w:val="1"/>
                <w:bCs w:val="1"/>
                <w:color w:val="222222"/>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8">
            <w:pPr>
              <w:widowControl w:val="0"/>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141414"/>
                <w:sz w:val="20"/>
                <w:szCs w:val="20"/>
                <w:rtl w:val="0"/>
              </w:rPr>
              <w:t xml:space="preserve">E) Gouvernements supralocaux, régionaux, provinciaux ou autres.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widowControl w:val="0"/>
              <w:rPr>
                <w:rFonts w:ascii="Calibri" w:cs="Calibri" w:eastAsia="Calibri" w:hAnsi="Calibri"/>
                <w:b w:val="1"/>
                <w:bCs w:val="1"/>
                <w:color w:val="222222"/>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widowControl w:val="0"/>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141414"/>
                <w:sz w:val="20"/>
                <w:szCs w:val="20"/>
                <w:rtl w:val="0"/>
              </w:rPr>
              <w:t xml:space="preserve">F) Initiative impliquant plusieurs gouvernements locaux ou régionaux.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widowControl w:val="0"/>
              <w:rPr>
                <w:rFonts w:ascii="Calibri" w:cs="Calibri" w:eastAsia="Calibri" w:hAnsi="Calibri"/>
                <w:b w:val="1"/>
                <w:bCs w:val="1"/>
                <w:color w:val="222222"/>
                <w:sz w:val="24"/>
                <w:szCs w:val="24"/>
              </w:rPr>
            </w:pPr>
            <w:r w:rsidDel="00000000" w:rsidR="00000000" w:rsidRPr="00000000">
              <w:rPr>
                <w:rtl w:val="0"/>
              </w:rPr>
            </w:r>
          </w:p>
        </w:tc>
      </w:tr>
    </w:tbl>
    <w:p w:rsidR="00000000" w:rsidDel="00000000" w:rsidP="00000000" w:rsidRDefault="00000000" w:rsidRPr="00000000" w14:paraId="0000001C">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1D">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b w:val="1"/>
          <w:bCs w:val="1"/>
          <w:color w:val="141414"/>
          <w:sz w:val="20"/>
          <w:szCs w:val="20"/>
          <w:rtl w:val="0"/>
        </w:rPr>
        <w:t xml:space="preserve">Données relatives à l’expérience </w:t>
      </w:r>
      <w:r w:rsidDel="00000000" w:rsidR="00000000" w:rsidRPr="00000000">
        <w:rPr>
          <w:rFonts w:ascii="Calibri" w:cs="Calibri" w:eastAsia="Calibri" w:hAnsi="Calibri"/>
          <w:color w:val="141414"/>
          <w:sz w:val="20"/>
          <w:szCs w:val="20"/>
          <w:rtl w:val="0"/>
        </w:rPr>
        <w:t xml:space="preserve">: </w:t>
      </w:r>
      <w:r w:rsidDel="00000000" w:rsidR="00000000" w:rsidRPr="00000000">
        <w:rPr>
          <w:rFonts w:ascii="Calibri" w:cs="Calibri" w:eastAsia="Calibri" w:hAnsi="Calibri"/>
          <w:i w:val="1"/>
          <w:iCs w:val="1"/>
          <w:color w:val="141414"/>
          <w:sz w:val="20"/>
          <w:szCs w:val="20"/>
          <w:rtl w:val="0"/>
        </w:rPr>
        <w:t xml:space="preserve">veuillez compléter les informations ci-dessous de manière claire et concise.</w:t>
      </w:r>
      <w:r w:rsidDel="00000000" w:rsidR="00000000" w:rsidRPr="00000000">
        <w:rPr>
          <w:rtl w:val="0"/>
        </w:rPr>
      </w:r>
    </w:p>
    <w:tbl>
      <w:tblPr>
        <w:tblStyle w:val="Table3"/>
        <w:tblW w:w="9705.0" w:type="dxa"/>
        <w:jc w:val="left"/>
        <w:tblInd w:w="-115.0" w:type="dxa"/>
        <w:tblLayout w:type="fixed"/>
        <w:tblLook w:val="0400"/>
      </w:tblPr>
      <w:tblGrid>
        <w:gridCol w:w="2249"/>
        <w:gridCol w:w="1826"/>
        <w:gridCol w:w="4485"/>
        <w:gridCol w:w="1145"/>
        <w:tblGridChange w:id="0">
          <w:tblGrid>
            <w:gridCol w:w="2249"/>
            <w:gridCol w:w="1826"/>
            <w:gridCol w:w="4485"/>
            <w:gridCol w:w="1145"/>
          </w:tblGrid>
        </w:tblGridChange>
      </w:tblGrid>
      <w:tr>
        <w:trPr>
          <w:cantSplit w:val="0"/>
          <w:trHeight w:val="26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Intitulé de l’expérience :     </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Nom de la ville ou de la région :</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Population de la ville ou du territoire :</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Pays :</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120"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41414"/>
                <w:sz w:val="20"/>
                <w:szCs w:val="20"/>
                <w:rtl w:val="0"/>
              </w:rPr>
              <w:t xml:space="preserve">Institution présentant la candidature :</w:t>
            </w:r>
            <w:r w:rsidDel="00000000" w:rsidR="00000000" w:rsidRPr="00000000">
              <w:rPr>
                <w:rFonts w:ascii="Calibri" w:cs="Calibri" w:eastAsia="Calibri" w:hAnsi="Calibri"/>
                <w:color w:val="141414"/>
                <w:sz w:val="20"/>
                <w:szCs w:val="20"/>
                <w:rtl w:val="0"/>
              </w:rPr>
              <w:t xml:space="preserve"> (nom de la municipalité, du service, du gouvernement ou de l’institution responsable de l’expérience candidate)      </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Site web de l’expérience ou de l’institution :</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Profils de l’expérience ou de l’institution sur les réseaux sociaux :</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Date de début de l’expérience :</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120"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41414"/>
                <w:sz w:val="20"/>
                <w:szCs w:val="20"/>
                <w:rtl w:val="0"/>
              </w:rPr>
              <w:t xml:space="preserve">Date de fin de l’expérience : </w:t>
            </w:r>
            <w:r w:rsidDel="00000000" w:rsidR="00000000" w:rsidRPr="00000000">
              <w:rPr>
                <w:rFonts w:ascii="Calibri" w:cs="Calibri" w:eastAsia="Calibri" w:hAnsi="Calibri"/>
                <w:color w:val="141414"/>
                <w:sz w:val="20"/>
                <w:szCs w:val="20"/>
                <w:rtl w:val="0"/>
              </w:rPr>
              <w:t xml:space="preserve">(si elle se poursuit, indiquez « en cours »)</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120"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141414"/>
                <w:sz w:val="20"/>
                <w:szCs w:val="20"/>
                <w:rtl w:val="0"/>
              </w:rPr>
              <w:t xml:space="preserve">Budget de l’expérience </w:t>
            </w:r>
            <w:r w:rsidDel="00000000" w:rsidR="00000000" w:rsidRPr="00000000">
              <w:rPr>
                <w:rFonts w:ascii="Calibri" w:cs="Calibri" w:eastAsia="Calibri" w:hAnsi="Calibri"/>
                <w:color w:val="141414"/>
                <w:sz w:val="20"/>
                <w:szCs w:val="20"/>
                <w:rtl w:val="0"/>
              </w:rPr>
              <w:t xml:space="preserve">: (indiquez approximativement le budget ou les ressources mobilisées pour son développement et sa mise en œuvre)</w:t>
            </w:r>
            <w:r w:rsidDel="00000000" w:rsidR="00000000" w:rsidRPr="00000000">
              <w:rPr>
                <w:rtl w:val="0"/>
              </w:rPr>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7">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8">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9">
            <w:pPr>
              <w:spacing w:after="12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Objectif principal de l’expérience </w:t>
            </w:r>
            <w:r w:rsidDel="00000000" w:rsidR="00000000" w:rsidRPr="00000000">
              <w:rPr>
                <w:rtl w:val="0"/>
              </w:rPr>
            </w:r>
          </w:p>
          <w:p w:rsidR="00000000" w:rsidDel="00000000" w:rsidP="00000000" w:rsidRDefault="00000000" w:rsidRPr="00000000" w14:paraId="0000004A">
            <w:pPr>
              <w:spacing w:after="12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(Cochez d’un X dans la colonne de droite les trois objectifs les plus pertinents.)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Réduire la fracture numérique et les écarts de connaissances entre les acteurs techniques et non techniques, condition préalable à une gouvernance participative de l’IA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Associer explicitement les groupes vulnérables et exclus du numérique à la gouvernance de l’IA au niveau local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Donner à la communauté et aux citoyens non organisés les moyens de définir les conditions, règles et garde-fous encadrant le fonctionnement local de l’IA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Relier différents outils participatifs (assemblées, co-conception, comités de surveillance, formation) dans un « écosystème » cohérent de gouvernance locale de l’IA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Renforcer l’évaluation, l’audit et la responsabilité des systèmes d’IA grâce à l’implication citoyenne dans la surveillance, la contestation et les voies de recours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Réduire la dépendance aux prestataires externes et développer les capacités locales (techniques, institutionnelles et civiques) de gouvernance des infrastructures, données et algorithmes d’IA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Atténuer l’impact environnemental et social du déploiement de l’IA grâce à des stratégies participatives d’informatique verte, de gestion des déchets électroniques et d’infrastructures durables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Améliorer la qualité de la décision publique grâce aux mécanismes de la démocratie participative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tabs>
                <w:tab w:val="left" w:leader="none" w:pos="142"/>
              </w:tabs>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Autre (veuillez préciser) __________________________________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120" w:before="20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Échelle territoriale</w:t>
            </w:r>
            <w:r w:rsidDel="00000000" w:rsidR="00000000" w:rsidRPr="00000000">
              <w:rPr>
                <w:rtl w:val="0"/>
              </w:rPr>
            </w:r>
          </w:p>
          <w:p w:rsidR="00000000" w:rsidDel="00000000" w:rsidP="00000000" w:rsidRDefault="00000000" w:rsidRPr="00000000" w14:paraId="0000006F">
            <w:pPr>
              <w:spacing w:after="12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color w:val="141414"/>
                <w:sz w:val="20"/>
                <w:szCs w:val="20"/>
                <w:rtl w:val="0"/>
              </w:rPr>
              <w:t xml:space="preserve">(Cochez d’un X dans la colonne de droite ; plusieurs réponses possibles.)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Ensemble du territoire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0"/>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Locale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22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widowControl w:val="0"/>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Régionale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District / arrondissement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Quartier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540.937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0">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1">
            <w:pPr>
              <w:spacing w:after="12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Domaine de politique publique / domaine thématique</w:t>
            </w:r>
            <w:r w:rsidDel="00000000" w:rsidR="00000000" w:rsidRPr="00000000">
              <w:rPr>
                <w:rtl w:val="0"/>
              </w:rPr>
            </w:r>
          </w:p>
          <w:p w:rsidR="00000000" w:rsidDel="00000000" w:rsidP="00000000" w:rsidRDefault="00000000" w:rsidRPr="00000000" w14:paraId="00000082">
            <w:pPr>
              <w:spacing w:after="12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color w:val="141414"/>
                <w:sz w:val="20"/>
                <w:szCs w:val="20"/>
                <w:rtl w:val="0"/>
              </w:rPr>
              <w:t xml:space="preserve">(Cochez d’un X dans la colonne de droite ; plusieurs réponses possibles.)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Gouvernance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Éducation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Transports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Gestion urbaine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Santé</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Sécurité</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Environnement / Changement climatique et/ou agriculture urbaine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Associations citoyennes, initiatives de terrain et nouveaux mouvements sociaux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Culture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Logement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Création d’emplois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Décentralisation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Développement 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Formation / apprentissage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Économie et/ou finances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Réglementation juridique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Inclusion sociale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Tous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20" w:lineRule="auto"/>
              <w:jc w:val="both"/>
              <w:rPr>
                <w:rFonts w:ascii="Calibri" w:cs="Calibri" w:eastAsia="Calibri" w:hAnsi="Calibri"/>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after="120" w:lineRule="auto"/>
              <w:jc w:val="both"/>
              <w:rPr>
                <w:rFonts w:ascii="Calibri" w:cs="Calibri" w:eastAsia="Calibri" w:hAnsi="Calibri"/>
                <w:sz w:val="24"/>
                <w:szCs w:val="24"/>
              </w:rPr>
            </w:pPr>
            <w:r w:rsidDel="00000000" w:rsidR="00000000" w:rsidRPr="00000000">
              <w:rPr>
                <w:rFonts w:ascii="Calibri" w:cs="Calibri" w:eastAsia="Calibri" w:hAnsi="Calibri"/>
                <w:color w:val="141414"/>
                <w:sz w:val="20"/>
                <w:szCs w:val="20"/>
                <w:rtl w:val="0"/>
              </w:rPr>
              <w:t xml:space="preserve">Autre (précisez le thème)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120" w:lineRule="auto"/>
              <w:jc w:val="both"/>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CE">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CF">
      <w:pPr>
        <w:spacing w:after="120" w:lineRule="auto"/>
        <w:jc w:val="both"/>
        <w:rPr>
          <w:rFonts w:ascii="Calibri" w:cs="Calibri" w:eastAsia="Calibri" w:hAnsi="Calibri"/>
          <w:color w:val="b85c00"/>
          <w:sz w:val="36"/>
          <w:szCs w:val="36"/>
        </w:rPr>
      </w:pPr>
      <w:r w:rsidDel="00000000" w:rsidR="00000000" w:rsidRPr="00000000">
        <w:rPr>
          <w:rFonts w:ascii="Calibri" w:cs="Calibri" w:eastAsia="Calibri" w:hAnsi="Calibri"/>
          <w:color w:val="b85c00"/>
          <w:sz w:val="26"/>
          <w:szCs w:val="26"/>
          <w:rtl w:val="0"/>
        </w:rPr>
        <w:t xml:space="preserve">PARTIE 2 : PRÉSENTATION GÉNÉRALE DE L’EXPÉRIENCE</w:t>
      </w:r>
      <w:r w:rsidDel="00000000" w:rsidR="00000000" w:rsidRPr="00000000">
        <w:rPr>
          <w:rtl w:val="0"/>
        </w:rPr>
      </w:r>
    </w:p>
    <w:p w:rsidR="00000000" w:rsidDel="00000000" w:rsidP="00000000" w:rsidRDefault="00000000" w:rsidRPr="00000000" w14:paraId="000000D0">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color w:val="141414"/>
          <w:sz w:val="20"/>
          <w:szCs w:val="20"/>
          <w:rtl w:val="0"/>
        </w:rPr>
        <w:t xml:space="preserve">Renseignez clairement et brièvement les champs suivants. Vous pouvez ajouter des liens, images ou graphiques si vous le jugez utile.</w:t>
      </w:r>
      <w:r w:rsidDel="00000000" w:rsidR="00000000" w:rsidRPr="00000000">
        <w:rPr>
          <w:rtl w:val="0"/>
        </w:rPr>
      </w:r>
    </w:p>
    <w:p w:rsidR="00000000" w:rsidDel="00000000" w:rsidP="00000000" w:rsidRDefault="00000000" w:rsidRPr="00000000" w14:paraId="000000D1">
      <w:pPr>
        <w:spacing w:after="120" w:lineRule="auto"/>
        <w:jc w:val="both"/>
        <w:rPr>
          <w:rFonts w:ascii="Calibri" w:cs="Calibri" w:eastAsia="Calibri" w:hAnsi="Calibri"/>
          <w:i w:val="1"/>
          <w:iCs w:val="1"/>
          <w:sz w:val="24"/>
          <w:szCs w:val="24"/>
        </w:rPr>
      </w:pPr>
      <w:r w:rsidDel="00000000" w:rsidR="00000000" w:rsidRPr="00000000">
        <w:rPr>
          <w:rtl w:val="0"/>
        </w:rPr>
      </w:r>
    </w:p>
    <w:tbl>
      <w:tblPr>
        <w:tblStyle w:val="Table4"/>
        <w:tblW w:w="9150.0" w:type="dxa"/>
        <w:jc w:val="left"/>
        <w:tblInd w:w="-25.0" w:type="dxa"/>
        <w:tblLayout w:type="fixed"/>
        <w:tblLook w:val="0400"/>
      </w:tblPr>
      <w:tblGrid>
        <w:gridCol w:w="9150"/>
        <w:tblGridChange w:id="0">
          <w:tblGrid>
            <w:gridCol w:w="9150"/>
          </w:tblGrid>
        </w:tblGridChange>
      </w:tblGrid>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after="120" w:before="200"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color w:val="141414"/>
                <w:sz w:val="20"/>
                <w:szCs w:val="20"/>
                <w:rtl w:val="0"/>
              </w:rPr>
              <w:t xml:space="preserve">RÉSUMÉ</w:t>
            </w:r>
            <w:r w:rsidDel="00000000" w:rsidR="00000000" w:rsidRPr="00000000">
              <w:rPr>
                <w:rtl w:val="0"/>
              </w:rPr>
            </w:r>
          </w:p>
          <w:p w:rsidR="00000000" w:rsidDel="00000000" w:rsidP="00000000" w:rsidRDefault="00000000" w:rsidRPr="00000000" w14:paraId="000000D3">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Résumé de l’expérience : origines, objectifs, fonctionnement, résultats, suivi et évaluation. (N’hésitez pas à reprendre des éléments déjà mentionnés. </w:t>
            </w:r>
            <w:r w:rsidDel="00000000" w:rsidR="00000000" w:rsidRPr="00000000">
              <w:rPr>
                <w:rFonts w:ascii="Calibri" w:cs="Calibri" w:eastAsia="Calibri" w:hAnsi="Calibri"/>
                <w:i w:val="1"/>
                <w:iCs w:val="1"/>
                <w:color w:val="141414"/>
                <w:sz w:val="20"/>
                <w:szCs w:val="20"/>
                <w:u w:val="single"/>
                <w:rtl w:val="0"/>
              </w:rPr>
              <w:t xml:space="preserve">Ce résumé sera partagé sur la plateforme numérique d’évaluation ouverte et dans la publication du Prix.)</w:t>
            </w:r>
            <w:r w:rsidDel="00000000" w:rsidR="00000000" w:rsidRPr="00000000">
              <w:rPr>
                <w:rFonts w:ascii="Calibri" w:cs="Calibri" w:eastAsia="Calibri" w:hAnsi="Calibri"/>
                <w:i w:val="1"/>
                <w:iCs w:val="1"/>
                <w:color w:val="141414"/>
                <w:sz w:val="20"/>
                <w:szCs w:val="20"/>
                <w:rtl w:val="0"/>
              </w:rPr>
              <w:t xml:space="preserve"> (</w:t>
            </w:r>
            <w:r w:rsidDel="00000000" w:rsidR="00000000" w:rsidRPr="00000000">
              <w:rPr>
                <w:rFonts w:ascii="Calibri" w:cs="Calibri" w:eastAsia="Calibri" w:hAnsi="Calibri"/>
                <w:b w:val="1"/>
                <w:bCs w:val="1"/>
                <w:i w:val="1"/>
                <w:iCs w:val="1"/>
                <w:color w:val="980000"/>
                <w:sz w:val="20"/>
                <w:szCs w:val="20"/>
                <w:rtl w:val="0"/>
              </w:rPr>
              <w:t xml:space="preserve">500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p w:rsidR="00000000" w:rsidDel="00000000" w:rsidP="00000000" w:rsidRDefault="00000000" w:rsidRPr="00000000" w14:paraId="000000D4">
            <w:pPr>
              <w:spacing w:after="120" w:lineRule="auto"/>
              <w:jc w:val="both"/>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D5">
            <w:pPr>
              <w:spacing w:after="120" w:lineRule="auto"/>
              <w:jc w:val="both"/>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D6">
            <w:pPr>
              <w:spacing w:after="120" w:lineRule="auto"/>
              <w:jc w:val="both"/>
              <w:rPr>
                <w:rFonts w:ascii="Calibri" w:cs="Calibri" w:eastAsia="Calibri" w:hAnsi="Calibri"/>
                <w:i w:val="1"/>
                <w:iCs w:val="1"/>
                <w:sz w:val="24"/>
                <w:szCs w:val="24"/>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D7">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Contexte :</w:t>
            </w:r>
            <w:r w:rsidDel="00000000" w:rsidR="00000000" w:rsidRPr="00000000">
              <w:rPr>
                <w:rtl w:val="0"/>
              </w:rPr>
            </w:r>
          </w:p>
          <w:p w:rsidR="00000000" w:rsidDel="00000000" w:rsidP="00000000" w:rsidRDefault="00000000" w:rsidRPr="00000000" w14:paraId="000000D8">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En </w:t>
            </w:r>
            <w:r w:rsidDel="00000000" w:rsidR="00000000" w:rsidRPr="00000000">
              <w:rPr>
                <w:rFonts w:ascii="Calibri" w:cs="Calibri" w:eastAsia="Calibri" w:hAnsi="Calibri"/>
                <w:b w:val="1"/>
                <w:bCs w:val="1"/>
                <w:i w:val="1"/>
                <w:iCs w:val="1"/>
                <w:color w:val="980000"/>
                <w:sz w:val="20"/>
                <w:szCs w:val="20"/>
                <w:rtl w:val="0"/>
              </w:rPr>
              <w:t xml:space="preserve">300 mots maximum</w:t>
            </w:r>
            <w:r w:rsidDel="00000000" w:rsidR="00000000" w:rsidRPr="00000000">
              <w:rPr>
                <w:rFonts w:ascii="Calibri" w:cs="Calibri" w:eastAsia="Calibri" w:hAnsi="Calibri"/>
                <w:i w:val="1"/>
                <w:iCs w:val="1"/>
                <w:color w:val="141414"/>
                <w:sz w:val="20"/>
                <w:szCs w:val="20"/>
                <w:rtl w:val="0"/>
              </w:rPr>
              <w:t xml:space="preserve">, présentez le contexte culturel, géographique, historique, institutionnel et socioéconomique de la ville, région ou territoire dans lequel se déroule l’expérience.</w:t>
            </w:r>
            <w:r w:rsidDel="00000000" w:rsidR="00000000" w:rsidRPr="00000000">
              <w:rPr>
                <w:rtl w:val="0"/>
              </w:rPr>
            </w:r>
          </w:p>
          <w:p w:rsidR="00000000" w:rsidDel="00000000" w:rsidP="00000000" w:rsidRDefault="00000000" w:rsidRPr="00000000" w14:paraId="000000D9">
            <w:pPr>
              <w:spacing w:after="12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A">
            <w:pPr>
              <w:spacing w:after="120" w:lineRule="auto"/>
              <w:jc w:val="both"/>
              <w:rPr>
                <w:rFonts w:ascii="Calibri" w:cs="Calibri" w:eastAsia="Calibri" w:hAnsi="Calibri"/>
                <w:sz w:val="24"/>
                <w:szCs w:val="24"/>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Antécédents </w:t>
            </w:r>
            <w:r w:rsidDel="00000000" w:rsidR="00000000" w:rsidRPr="00000000">
              <w:rPr>
                <w:rFonts w:ascii="Calibri" w:cs="Calibri" w:eastAsia="Calibri" w:hAnsi="Calibri"/>
                <w:color w:val="141414"/>
                <w:sz w:val="20"/>
                <w:szCs w:val="20"/>
                <w:rtl w:val="0"/>
              </w:rPr>
              <w:t xml:space="preserve">:</w:t>
            </w:r>
            <w:r w:rsidDel="00000000" w:rsidR="00000000" w:rsidRPr="00000000">
              <w:rPr>
                <w:rtl w:val="0"/>
              </w:rPr>
            </w:r>
          </w:p>
          <w:p w:rsidR="00000000" w:rsidDel="00000000" w:rsidP="00000000" w:rsidRDefault="00000000" w:rsidRPr="00000000" w14:paraId="000000DC">
            <w:pPr>
              <w:spacing w:after="120" w:lineRule="auto"/>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Expliquez les antécédents et les origines de l’expérience : si elle constitue une innovation par rapport à une expérience existante, quelles en sont les origines ; si elle est nouvelle, quelles sont les expériences antérieures de participation dans votre ville, région ou territoire ? Vous pouvez également préciser si des expériences menées dans d’autres villes ou pays vous ont inspirés. (</w:t>
            </w:r>
            <w:r w:rsidDel="00000000" w:rsidR="00000000" w:rsidRPr="00000000">
              <w:rPr>
                <w:rFonts w:ascii="Calibri" w:cs="Calibri" w:eastAsia="Calibri" w:hAnsi="Calibri"/>
                <w:b w:val="1"/>
                <w:bCs w:val="1"/>
                <w:i w:val="1"/>
                <w:iCs w:val="1"/>
                <w:color w:val="980000"/>
                <w:sz w:val="20"/>
                <w:szCs w:val="20"/>
                <w:rtl w:val="0"/>
              </w:rPr>
              <w:t xml:space="preserve">300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0DD">
            <w:pPr>
              <w:spacing w:after="120" w:lineRule="auto"/>
              <w:jc w:val="both"/>
              <w:rPr>
                <w:rFonts w:ascii="Calibri" w:cs="Calibri" w:eastAsia="Calibri" w:hAnsi="Calibri"/>
                <w:color w:val="141414"/>
                <w:sz w:val="20"/>
                <w:szCs w:val="20"/>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DE">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Objectifs de l’expérience :</w:t>
            </w:r>
            <w:r w:rsidDel="00000000" w:rsidR="00000000" w:rsidRPr="00000000">
              <w:rPr>
                <w:rtl w:val="0"/>
              </w:rPr>
            </w:r>
          </w:p>
          <w:p w:rsidR="00000000" w:rsidDel="00000000" w:rsidP="00000000" w:rsidRDefault="00000000" w:rsidRPr="00000000" w14:paraId="000000DF">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En partant de l’objectif indiqué dans la partie 1 que vous estimez le plus important, précisez les autres objectifs majeurs de l’expérience. (</w:t>
            </w:r>
            <w:r w:rsidDel="00000000" w:rsidR="00000000" w:rsidRPr="00000000">
              <w:rPr>
                <w:rFonts w:ascii="Calibri" w:cs="Calibri" w:eastAsia="Calibri" w:hAnsi="Calibri"/>
                <w:b w:val="1"/>
                <w:bCs w:val="1"/>
                <w:i w:val="1"/>
                <w:iCs w:val="1"/>
                <w:color w:val="980000"/>
                <w:sz w:val="20"/>
                <w:szCs w:val="20"/>
                <w:rtl w:val="0"/>
              </w:rPr>
              <w:t xml:space="preserve">100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0">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Impacts et résultats :</w:t>
            </w:r>
            <w:r w:rsidDel="00000000" w:rsidR="00000000" w:rsidRPr="00000000">
              <w:rPr>
                <w:rtl w:val="0"/>
              </w:rPr>
            </w:r>
          </w:p>
          <w:p w:rsidR="00000000" w:rsidDel="00000000" w:rsidP="00000000" w:rsidRDefault="00000000" w:rsidRPr="00000000" w14:paraId="000000E1">
            <w:pPr>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Décrivez les effets et les résultats du processus. Combien de personnes ont participé, et quels sont leurs profils ? Quels ont été les effets sur les politiques publiques, le fonctionnement de l’administration et les citoyens ? (</w:t>
            </w:r>
            <w:r w:rsidDel="00000000" w:rsidR="00000000" w:rsidRPr="00000000">
              <w:rPr>
                <w:rFonts w:ascii="Calibri" w:cs="Calibri" w:eastAsia="Calibri" w:hAnsi="Calibri"/>
                <w:b w:val="1"/>
                <w:bCs w:val="1"/>
                <w:i w:val="1"/>
                <w:iCs w:val="1"/>
                <w:color w:val="980000"/>
                <w:sz w:val="20"/>
                <w:szCs w:val="20"/>
                <w:rtl w:val="0"/>
              </w:rPr>
              <w:t xml:space="preserve">300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0E2">
            <w:pPr>
              <w:jc w:val="both"/>
              <w:rPr>
                <w:rFonts w:ascii="Calibri" w:cs="Calibri" w:eastAsia="Calibri" w:hAnsi="Calibri"/>
                <w:i w:val="1"/>
                <w:iCs w:val="1"/>
                <w:color w:val="141414"/>
                <w:sz w:val="20"/>
                <w:szCs w:val="20"/>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3">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L’IA au service de la participation et de la citoyenneté active :</w:t>
            </w:r>
            <w:r w:rsidDel="00000000" w:rsidR="00000000" w:rsidRPr="00000000">
              <w:rPr>
                <w:rtl w:val="0"/>
              </w:rPr>
            </w:r>
          </w:p>
          <w:p w:rsidR="00000000" w:rsidDel="00000000" w:rsidP="00000000" w:rsidRDefault="00000000" w:rsidRPr="00000000" w14:paraId="000000E4">
            <w:pPr>
              <w:spacing w:after="120" w:lineRule="auto"/>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Précisez si le système d’IA faisant l’objet du processus participatif est lui-même utilisé pour soutenir la participation active et les démarches citoyennes (p. ex. faciliter les consultations publiques, résumer les délibérations, permettre un accès multilingue aux plateformes participatives, soutenir les dispositifs de suivi ou de retour d’information des citoyens, produire des comptes rendus accessibles des décisions). Si oui, décrivez son utilisation, les garanties visant à empêcher qu’il ne réduise la capacité d’action humaine ou ne remplace la valeur émancipatrice de la délibération, ainsi que les moyens offerts aux citoyens pour vérifier ou contester le rôle de l’IA. Si non, indiquez simplement « Sans objet ». (</w:t>
            </w:r>
            <w:r w:rsidDel="00000000" w:rsidR="00000000" w:rsidRPr="00000000">
              <w:rPr>
                <w:rFonts w:ascii="Calibri" w:cs="Calibri" w:eastAsia="Calibri" w:hAnsi="Calibri"/>
                <w:b w:val="1"/>
                <w:bCs w:val="1"/>
                <w:i w:val="1"/>
                <w:iCs w:val="1"/>
                <w:color w:val="980000"/>
                <w:sz w:val="20"/>
                <w:szCs w:val="20"/>
                <w:rtl w:val="0"/>
              </w:rPr>
              <w:t xml:space="preserve">300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0E5">
            <w:pPr>
              <w:spacing w:after="120" w:lineRule="auto"/>
              <w:jc w:val="both"/>
              <w:rPr>
                <w:rFonts w:ascii="Calibri" w:cs="Calibri" w:eastAsia="Calibri" w:hAnsi="Calibri"/>
                <w:i w:val="1"/>
                <w:iCs w:val="1"/>
                <w:color w:val="141414"/>
                <w:sz w:val="20"/>
                <w:szCs w:val="20"/>
              </w:rPr>
            </w:pPr>
            <w:r w:rsidDel="00000000" w:rsidR="00000000" w:rsidRPr="00000000">
              <w:rPr>
                <w:rtl w:val="0"/>
              </w:rPr>
            </w:r>
          </w:p>
        </w:tc>
      </w:tr>
    </w:tbl>
    <w:p w:rsidR="00000000" w:rsidDel="00000000" w:rsidP="00000000" w:rsidRDefault="00000000" w:rsidRPr="00000000" w14:paraId="000000E6">
      <w:pPr>
        <w:spacing w:after="12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E7">
      <w:pPr>
        <w:spacing w:after="120" w:lineRule="auto"/>
        <w:jc w:val="both"/>
        <w:rPr>
          <w:rFonts w:ascii="Calibri" w:cs="Calibri" w:eastAsia="Calibri" w:hAnsi="Calibri"/>
          <w:color w:val="b85c00"/>
          <w:sz w:val="36"/>
          <w:szCs w:val="36"/>
        </w:rPr>
      </w:pPr>
      <w:r w:rsidDel="00000000" w:rsidR="00000000" w:rsidRPr="00000000">
        <w:rPr>
          <w:rFonts w:ascii="Calibri" w:cs="Calibri" w:eastAsia="Calibri" w:hAnsi="Calibri"/>
          <w:color w:val="b85c00"/>
          <w:sz w:val="26"/>
          <w:szCs w:val="26"/>
          <w:rtl w:val="0"/>
        </w:rPr>
        <w:t xml:space="preserve">PARTIE 3 : DESCRIPTION DÉTAILLÉE</w:t>
      </w:r>
      <w:r w:rsidDel="00000000" w:rsidR="00000000" w:rsidRPr="00000000">
        <w:rPr>
          <w:rtl w:val="0"/>
        </w:rPr>
      </w:r>
    </w:p>
    <w:p w:rsidR="00000000" w:rsidDel="00000000" w:rsidP="00000000" w:rsidRDefault="00000000" w:rsidRPr="00000000" w14:paraId="000000E8">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color w:val="141414"/>
          <w:sz w:val="20"/>
          <w:szCs w:val="20"/>
          <w:rtl w:val="0"/>
        </w:rPr>
        <w:t xml:space="preserve">Le jury évaluera votre pratique au regard des six dimensions ci-dessous. </w:t>
      </w:r>
      <w:r w:rsidDel="00000000" w:rsidR="00000000" w:rsidRPr="00000000">
        <w:rPr>
          <w:rtl w:val="0"/>
        </w:rPr>
      </w:r>
    </w:p>
    <w:p w:rsidR="00000000" w:rsidDel="00000000" w:rsidP="00000000" w:rsidRDefault="00000000" w:rsidRPr="00000000" w14:paraId="000000E9">
      <w:pPr>
        <w:spacing w:after="120" w:lineRule="auto"/>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EA">
      <w:pPr>
        <w:spacing w:after="120" w:lineRule="auto"/>
        <w:jc w:val="both"/>
        <w:rPr>
          <w:rFonts w:ascii="Calibri" w:cs="Calibri" w:eastAsia="Calibri" w:hAnsi="Calibri"/>
          <w:b w:val="1"/>
          <w:bCs w:val="1"/>
          <w:i w:val="1"/>
          <w:iCs w:val="1"/>
          <w:color w:val="b85c00"/>
          <w:sz w:val="26"/>
          <w:szCs w:val="26"/>
        </w:rPr>
      </w:pPr>
      <w:r w:rsidDel="00000000" w:rsidR="00000000" w:rsidRPr="00000000">
        <w:rPr>
          <w:rFonts w:ascii="Calibri" w:cs="Calibri" w:eastAsia="Calibri" w:hAnsi="Calibri"/>
          <w:b w:val="1"/>
          <w:bCs w:val="1"/>
          <w:i w:val="1"/>
          <w:iCs w:val="1"/>
          <w:color w:val="b85c00"/>
          <w:rtl w:val="0"/>
        </w:rPr>
        <w:t xml:space="preserve">Dimension transversale : Moyens et stratégies d’implication citoyenne dans la gouvernance de l’IA</w:t>
      </w:r>
      <w:r w:rsidDel="00000000" w:rsidR="00000000" w:rsidRPr="00000000">
        <w:rPr>
          <w:rtl w:val="0"/>
        </w:rPr>
      </w:r>
    </w:p>
    <w:p w:rsidR="00000000" w:rsidDel="00000000" w:rsidP="00000000" w:rsidRDefault="00000000" w:rsidRPr="00000000" w14:paraId="000000EB">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Cette dimension évalue la profondeur, l’ampleur et la qualité des processus participatifs par lesquels les acteurs locaux — citoyens, agents publics, société civile et autres parties prenantes — contribuent à définir les conditions de fonctionnement de l’IA au niveau local. Veuillez suivre les consignes figurant sous chaque critère pour orienter votre réponse.</w:t>
      </w:r>
      <w:r w:rsidDel="00000000" w:rsidR="00000000" w:rsidRPr="00000000">
        <w:rPr>
          <w:rtl w:val="0"/>
        </w:rPr>
      </w:r>
    </w:p>
    <w:tbl>
      <w:tblPr>
        <w:tblStyle w:val="Table5"/>
        <w:tblW w:w="9150.0" w:type="dxa"/>
        <w:jc w:val="left"/>
        <w:tblInd w:w="-25.0" w:type="dxa"/>
        <w:tblLayout w:type="fixed"/>
        <w:tblLook w:val="0400"/>
      </w:tblPr>
      <w:tblGrid>
        <w:gridCol w:w="9150"/>
        <w:tblGridChange w:id="0">
          <w:tblGrid>
            <w:gridCol w:w="9150"/>
          </w:tblGrid>
        </w:tblGridChange>
      </w:tblGrid>
      <w:tr>
        <w:trPr>
          <w:cantSplit w:val="0"/>
          <w:trHeight w:val="214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Résumé des méthodes de participation:</w:t>
            </w:r>
            <w:r w:rsidDel="00000000" w:rsidR="00000000" w:rsidRPr="00000000">
              <w:rPr>
                <w:rtl w:val="0"/>
              </w:rPr>
            </w:r>
          </w:p>
          <w:p w:rsidR="00000000" w:rsidDel="00000000" w:rsidP="00000000" w:rsidRDefault="00000000" w:rsidRPr="00000000" w14:paraId="000000ED">
            <w:pPr>
              <w:spacing w:after="120"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color w:val="141414"/>
                <w:sz w:val="20"/>
                <w:szCs w:val="20"/>
                <w:rtl w:val="0"/>
              </w:rPr>
              <w:t xml:space="preserve">Dans un court paragraphe, décrivez le type général de méthode(s) participative(s) employée(s) (p. ex. assemblée citoyenne, atelier de coconception, consultation publique, hackathon, sondage délibératif, comité de surveillance, modèle mixte). Précisez les personnes impliquées, les principales étapes du processus et les raisons du choix de la méthode. (</w:t>
            </w:r>
            <w:r w:rsidDel="00000000" w:rsidR="00000000" w:rsidRPr="00000000">
              <w:rPr>
                <w:rFonts w:ascii="Calibri" w:cs="Calibri" w:eastAsia="Calibri" w:hAnsi="Calibri"/>
                <w:b w:val="1"/>
                <w:bCs w:val="1"/>
                <w:i w:val="1"/>
                <w:iCs w:val="1"/>
                <w:color w:val="980000"/>
                <w:sz w:val="20"/>
                <w:szCs w:val="20"/>
                <w:rtl w:val="0"/>
              </w:rPr>
              <w:t xml:space="preserve">300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tc>
      </w:tr>
      <w:tr>
        <w:trPr>
          <w:cantSplit w:val="0"/>
          <w:trHeight w:val="2334.88281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Portée quantitative et mobilisation :</w:t>
            </w:r>
            <w:r w:rsidDel="00000000" w:rsidR="00000000" w:rsidRPr="00000000">
              <w:rPr>
                <w:rtl w:val="0"/>
              </w:rPr>
            </w:r>
          </w:p>
          <w:p w:rsidR="00000000" w:rsidDel="00000000" w:rsidP="00000000" w:rsidRDefault="00000000" w:rsidRPr="00000000" w14:paraId="000000EF">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Fournissez des données décrivant l’ampleur et la diversité du processus participatif : nombre de séances, nombre total de participants distincts, formats utilisés (présentiel, en ligne, hybride), durée de la participation, etc. Donnez un bref exemple de la manière dont une contribution citoyenne s’est traduite par une décision concrète. (</w:t>
            </w:r>
            <w:r w:rsidDel="00000000" w:rsidR="00000000" w:rsidRPr="00000000">
              <w:rPr>
                <w:rFonts w:ascii="Calibri" w:cs="Calibri" w:eastAsia="Calibri" w:hAnsi="Calibri"/>
                <w:b w:val="1"/>
                <w:bCs w:val="1"/>
                <w:i w:val="1"/>
                <w:iCs w:val="1"/>
                <w:color w:val="980000"/>
                <w:sz w:val="20"/>
                <w:szCs w:val="20"/>
                <w:rtl w:val="0"/>
              </w:rPr>
              <w:t xml:space="preserve">200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p w:rsidR="00000000" w:rsidDel="00000000" w:rsidP="00000000" w:rsidRDefault="00000000" w:rsidRPr="00000000" w14:paraId="000000F0">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F1">
            <w:pPr>
              <w:spacing w:after="120" w:lineRule="auto"/>
              <w:jc w:val="both"/>
              <w:rPr>
                <w:rFonts w:ascii="Calibri" w:cs="Calibri" w:eastAsia="Calibri" w:hAnsi="Calibri"/>
                <w:sz w:val="30"/>
                <w:szCs w:val="30"/>
              </w:rPr>
            </w:pPr>
            <w:r w:rsidDel="00000000" w:rsidR="00000000" w:rsidRPr="00000000">
              <w:rPr>
                <w:rtl w:val="0"/>
              </w:rPr>
            </w:r>
          </w:p>
        </w:tc>
      </w:tr>
      <w:tr>
        <w:trPr>
          <w:cantSplit w:val="0"/>
          <w:trHeight w:val="152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Inclusion :</w:t>
            </w:r>
            <w:r w:rsidDel="00000000" w:rsidR="00000000" w:rsidRPr="00000000">
              <w:rPr>
                <w:rtl w:val="0"/>
              </w:rPr>
            </w:r>
          </w:p>
          <w:p w:rsidR="00000000" w:rsidDel="00000000" w:rsidP="00000000" w:rsidRDefault="00000000" w:rsidRPr="00000000" w14:paraId="000000F3">
            <w:pPr>
              <w:spacing w:after="120" w:lineRule="auto"/>
              <w:jc w:val="both"/>
              <w:rPr>
                <w:rFonts w:ascii="Calibri" w:cs="Calibri" w:eastAsia="Calibri" w:hAnsi="Calibri"/>
                <w:sz w:val="30"/>
                <w:szCs w:val="30"/>
              </w:rPr>
            </w:pPr>
            <w:r w:rsidDel="00000000" w:rsidR="00000000" w:rsidRPr="00000000">
              <w:rPr>
                <w:rFonts w:ascii="Calibri" w:cs="Calibri" w:eastAsia="Calibri" w:hAnsi="Calibri"/>
                <w:i w:val="1"/>
                <w:iCs w:val="1"/>
                <w:color w:val="141414"/>
                <w:sz w:val="20"/>
                <w:szCs w:val="20"/>
                <w:rtl w:val="0"/>
              </w:rPr>
              <w:t xml:space="preserve">Identifiez les groupes vulnérables ou exposés spécifiquement ciblés. Décrivez les mesures d’accessibilité proposées. (</w:t>
            </w:r>
            <w:r w:rsidDel="00000000" w:rsidR="00000000" w:rsidRPr="00000000">
              <w:rPr>
                <w:rFonts w:ascii="Calibri" w:cs="Calibri" w:eastAsia="Calibri" w:hAnsi="Calibri"/>
                <w:b w:val="1"/>
                <w:bCs w:val="1"/>
                <w:i w:val="1"/>
                <w:iCs w:val="1"/>
                <w:color w:val="980000"/>
                <w:sz w:val="20"/>
                <w:szCs w:val="20"/>
                <w:rtl w:val="0"/>
              </w:rPr>
              <w:t xml:space="preserve">150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tc>
      </w:tr>
      <w:tr>
        <w:trPr>
          <w:cantSplit w:val="0"/>
          <w:trHeight w:val="218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Formation, renforcement des capacités et partage des connaissances :</w:t>
            </w:r>
            <w:r w:rsidDel="00000000" w:rsidR="00000000" w:rsidRPr="00000000">
              <w:rPr>
                <w:rtl w:val="0"/>
              </w:rPr>
            </w:r>
          </w:p>
          <w:p w:rsidR="00000000" w:rsidDel="00000000" w:rsidP="00000000" w:rsidRDefault="00000000" w:rsidRPr="00000000" w14:paraId="000000F5">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Décrivez les activités de formation et de partage des connaissances organisées pour les citoyens, agents publics ou acteurs locaux. Indiquez les ressources mises à la disposition du public (boîtes à outils, guides, cours) et précisez si des institutions locales (écoles, bibliothèques, universités) ont été associées. (</w:t>
            </w:r>
            <w:r w:rsidDel="00000000" w:rsidR="00000000" w:rsidRPr="00000000">
              <w:rPr>
                <w:rFonts w:ascii="Calibri" w:cs="Calibri" w:eastAsia="Calibri" w:hAnsi="Calibri"/>
                <w:b w:val="1"/>
                <w:bCs w:val="1"/>
                <w:i w:val="1"/>
                <w:iCs w:val="1"/>
                <w:color w:val="980000"/>
                <w:sz w:val="20"/>
                <w:szCs w:val="20"/>
                <w:rtl w:val="0"/>
              </w:rPr>
              <w:t xml:space="preserve">150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p w:rsidR="00000000" w:rsidDel="00000000" w:rsidP="00000000" w:rsidRDefault="00000000" w:rsidRPr="00000000" w14:paraId="000000F6">
            <w:pPr>
              <w:spacing w:after="12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F7">
            <w:pPr>
              <w:spacing w:after="120" w:lineRule="auto"/>
              <w:jc w:val="both"/>
              <w:rPr>
                <w:rFonts w:ascii="Calibri" w:cs="Calibri" w:eastAsia="Calibri" w:hAnsi="Calibri"/>
                <w:sz w:val="30"/>
                <w:szCs w:val="30"/>
              </w:rPr>
            </w:pPr>
            <w:r w:rsidDel="00000000" w:rsidR="00000000" w:rsidRPr="00000000">
              <w:rPr>
                <w:rtl w:val="0"/>
              </w:rPr>
            </w:r>
          </w:p>
        </w:tc>
      </w:tr>
      <w:tr>
        <w:trPr>
          <w:cantSplit w:val="0"/>
          <w:trHeight w:val="19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Évaluation :</w:t>
            </w:r>
            <w:r w:rsidDel="00000000" w:rsidR="00000000" w:rsidRPr="00000000">
              <w:rPr>
                <w:rtl w:val="0"/>
              </w:rPr>
            </w:r>
          </w:p>
          <w:p w:rsidR="00000000" w:rsidDel="00000000" w:rsidP="00000000" w:rsidRDefault="00000000" w:rsidRPr="00000000" w14:paraId="000000F9">
            <w:pP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Décrivez comment la pratique est évaluée : qui réalise l’évaluation, selon quelles méthodes (examen participatif, tableau de bord d’indicateurs, rapport public, audit indépendant), à quelle fréquence et selon quels critères. Précisez si les citoyens participent à l’évaluation. (</w:t>
            </w:r>
            <w:r w:rsidDel="00000000" w:rsidR="00000000" w:rsidRPr="00000000">
              <w:rPr>
                <w:rFonts w:ascii="Calibri" w:cs="Calibri" w:eastAsia="Calibri" w:hAnsi="Calibri"/>
                <w:b w:val="1"/>
                <w:bCs w:val="1"/>
                <w:i w:val="1"/>
                <w:iCs w:val="1"/>
                <w:color w:val="980000"/>
                <w:sz w:val="20"/>
                <w:szCs w:val="20"/>
                <w:rtl w:val="0"/>
              </w:rPr>
              <w:t xml:space="preserve">150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tc>
      </w:tr>
    </w:tbl>
    <w:p w:rsidR="00000000" w:rsidDel="00000000" w:rsidP="00000000" w:rsidRDefault="00000000" w:rsidRPr="00000000" w14:paraId="000000FA">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B">
      <w:pPr>
        <w:spacing w:after="120" w:lineRule="auto"/>
        <w:jc w:val="both"/>
        <w:rPr>
          <w:rFonts w:ascii="Calibri" w:cs="Calibri" w:eastAsia="Calibri" w:hAnsi="Calibri"/>
          <w:b w:val="1"/>
          <w:bCs w:val="1"/>
          <w:color w:val="b85c00"/>
          <w:sz w:val="26"/>
          <w:szCs w:val="26"/>
        </w:rPr>
      </w:pPr>
      <w:r w:rsidDel="00000000" w:rsidR="00000000" w:rsidRPr="00000000">
        <w:rPr>
          <w:rFonts w:ascii="Calibri" w:cs="Calibri" w:eastAsia="Calibri" w:hAnsi="Calibri"/>
          <w:b w:val="1"/>
          <w:bCs w:val="1"/>
          <w:color w:val="b85c00"/>
          <w:rtl w:val="0"/>
        </w:rPr>
        <w:t xml:space="preserve">Dimensions verticales</w:t>
      </w:r>
      <w:r w:rsidDel="00000000" w:rsidR="00000000" w:rsidRPr="00000000">
        <w:rPr>
          <w:rtl w:val="0"/>
        </w:rPr>
      </w:r>
    </w:p>
    <w:p w:rsidR="00000000" w:rsidDel="00000000" w:rsidP="00000000" w:rsidRDefault="00000000" w:rsidRPr="00000000" w14:paraId="000000FC">
      <w:pPr>
        <w:rPr>
          <w:rFonts w:ascii="Calibri" w:cs="Calibri" w:eastAsia="Calibri" w:hAnsi="Calibri"/>
        </w:rPr>
      </w:pPr>
      <w:r w:rsidDel="00000000" w:rsidR="00000000" w:rsidRPr="00000000">
        <w:rPr>
          <w:rtl w:val="0"/>
        </w:rPr>
      </w:r>
    </w:p>
    <w:tbl>
      <w:tblPr>
        <w:tblStyle w:val="Table6"/>
        <w:tblW w:w="9690.0" w:type="dxa"/>
        <w:jc w:val="left"/>
        <w:tblInd w:w="-25.0" w:type="dxa"/>
        <w:tblLayout w:type="fixed"/>
        <w:tblLook w:val="0400"/>
      </w:tblPr>
      <w:tblGrid>
        <w:gridCol w:w="9690"/>
        <w:tblGridChange w:id="0">
          <w:tblGrid>
            <w:gridCol w:w="969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Souveraineté et maîtrise des données :</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lineRule="auto"/>
              <w:jc w:val="both"/>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Cette dimension mesure le contrôle exercé par la communauté et l’administration sur l’ensemble du cycle de vie des données (collecte, stockage, traitement et utilisation pour l’entraînement ou l’inférence), afin que les données restent une ressource locale protégée et soumise à une gouvernance collective.</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Veuillez décrire les mesures et instruments en place. Le jury recherchera notamment des preuves telles que :</w:t>
            </w:r>
            <w:r w:rsidDel="00000000" w:rsidR="00000000" w:rsidRPr="00000000">
              <w:rPr>
                <w:rtl w:val="0"/>
              </w:rPr>
            </w:r>
          </w:p>
          <w:p w:rsidR="00000000" w:rsidDel="00000000" w:rsidP="00000000" w:rsidRDefault="00000000" w:rsidRPr="00000000" w14:paraId="00000100">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Un protocole de gouvernance locale des données officiellement adopté, une « fiducie de données » (Data Trust) ou un instrument équivalent, précisant les règles de propriété, de consentement, de conservation et de suppression, accompagné de garanties techniques assurant le stockage et le traitement locaux des données et empêchant leur intégration dans des jeux d’entraînement de tiers ;</w:t>
            </w:r>
            <w:r w:rsidDel="00000000" w:rsidR="00000000" w:rsidRPr="00000000">
              <w:rPr>
                <w:rtl w:val="0"/>
              </w:rPr>
            </w:r>
          </w:p>
          <w:p w:rsidR="00000000" w:rsidDel="00000000" w:rsidP="00000000" w:rsidRDefault="00000000" w:rsidRPr="00000000" w14:paraId="00000101">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mécanismes de contrôle citoyen ou communautaire (p. ex. comité des données, tableau de bord public ou procédure d’audit) permettant aux personnes d’examiner, de contester ou de retirer leur consentement à l’utilisation de données liées à l’IA ;</w:t>
            </w:r>
            <w:r w:rsidDel="00000000" w:rsidR="00000000" w:rsidRPr="00000000">
              <w:rPr>
                <w:rtl w:val="0"/>
              </w:rPr>
            </w:r>
          </w:p>
          <w:p w:rsidR="00000000" w:rsidDel="00000000" w:rsidP="00000000" w:rsidRDefault="00000000" w:rsidRPr="00000000" w14:paraId="00000102">
            <w:pPr>
              <w:numPr>
                <w:ilvl w:val="0"/>
                <w:numId w:val="1"/>
              </w:numPr>
              <w:pBdr>
                <w:top w:space="0" w:sz="0" w:val="nil"/>
                <w:left w:space="0" w:sz="0" w:val="nil"/>
                <w:bottom w:space="0" w:sz="0" w:val="nil"/>
                <w:right w:space="0" w:sz="0" w:val="nil"/>
                <w:between w:space="0" w:sz="0" w:val="nil"/>
              </w:pBdr>
              <w:tabs>
                <w:tab w:val="left" w:leader="none" w:pos="0"/>
              </w:tabs>
              <w:spacing w:after="140" w:lineRule="auto"/>
              <w:ind w:left="709" w:hanging="283"/>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dispositifs fédérés ou collaboratifs dans lesquels les données demeurent auprès de chaque entité et seuls les résultats mathématiques de l’apprentissage sont partagés selon des règles participatives.</w:t>
            </w:r>
            <w:r w:rsidDel="00000000" w:rsidR="00000000" w:rsidRPr="00000000">
              <w:rPr>
                <w:rtl w:val="0"/>
              </w:rPr>
            </w:r>
          </w:p>
          <w:p w:rsidR="00000000" w:rsidDel="00000000" w:rsidP="00000000" w:rsidRDefault="00000000" w:rsidRPr="00000000" w14:paraId="00000103">
            <w:pPr>
              <w:spacing w:after="120"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color w:val="980000"/>
                <w:sz w:val="20"/>
                <w:szCs w:val="20"/>
                <w:rtl w:val="0"/>
              </w:rPr>
              <w:t xml:space="preserve">200 mots maximum</w:t>
            </w:r>
            <w:r w:rsidDel="00000000" w:rsidR="00000000" w:rsidRPr="00000000">
              <w:rPr>
                <w:rFonts w:ascii="Calibri" w:cs="Calibri" w:eastAsia="Calibri" w:hAnsi="Calibri"/>
                <w:i w:val="1"/>
                <w:iCs w:val="1"/>
                <w:color w:val="141414"/>
                <w:sz w:val="20"/>
                <w:szCs w:val="20"/>
                <w:rtl w:val="0"/>
              </w:rPr>
              <w:t xml:space="preserve">.</w:t>
            </w:r>
            <w:r w:rsidDel="00000000" w:rsidR="00000000" w:rsidRPr="00000000">
              <w:rPr>
                <w:rtl w:val="0"/>
              </w:rPr>
            </w:r>
          </w:p>
          <w:p w:rsidR="00000000" w:rsidDel="00000000" w:rsidP="00000000" w:rsidRDefault="00000000" w:rsidRPr="00000000" w14:paraId="00000104">
            <w:pPr>
              <w:rPr>
                <w:rFonts w:ascii="Calibri" w:cs="Calibri" w:eastAsia="Calibri" w:hAnsi="Calibri"/>
                <w:sz w:val="24"/>
                <w:szCs w:val="24"/>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Autonomie algorithmique et maîtrise du fonctionnement de l’IA :</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Cette dimension évalue la liberté dont disposent la communauté et l’administration pour définir les règles, l’architecture et les garde-fous éthiques de l’IA, en s’éloignant des systèmes propriétaires « boîtes noires » au profit d’architectures ouvertes, personnalisables, adaptées au contexte et intégrant les valeurs locales.</w:t>
            </w:r>
          </w:p>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Veuillez décrire les mesures et instruments en place. Le jury recherchera notamment des preuves telles que :</w:t>
            </w:r>
          </w:p>
          <w:p w:rsidR="00000000" w:rsidDel="00000000" w:rsidP="00000000" w:rsidRDefault="00000000" w:rsidRPr="00000000" w14:paraId="00000109">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0A">
            <w:pPr>
              <w:numPr>
                <w:ilvl w:val="0"/>
                <w:numId w:val="2"/>
              </w:numPr>
              <w:pBdr>
                <w:top w:space="0" w:sz="0" w:val="nil"/>
                <w:left w:space="0" w:sz="0" w:val="nil"/>
                <w:bottom w:space="0" w:sz="0" w:val="nil"/>
                <w:right w:space="0" w:sz="0" w:val="nil"/>
                <w:between w:space="0" w:sz="0" w:val="nil"/>
              </w:pBdr>
              <w:ind w:left="979" w:hanging="360"/>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Un passage mesurable des modèles propriétaires « tels quels » à des architectures ouvertes ou personnalisables, étayé par une « cartographie des valeurs de l’IA », une charte éthique ou une documentation équivalente précisant les valeurs locales et les garde-fous intégrés au modèle, avec des cycles de réévaluation réguliers tenant compte des contributions communautaires ;</w:t>
            </w:r>
            <w:r w:rsidDel="00000000" w:rsidR="00000000" w:rsidRPr="00000000">
              <w:rPr>
                <w:rtl w:val="0"/>
              </w:rPr>
            </w:r>
          </w:p>
          <w:p w:rsidR="00000000" w:rsidDel="00000000" w:rsidP="00000000" w:rsidRDefault="00000000" w:rsidRPr="00000000" w14:paraId="0000010B">
            <w:pPr>
              <w:numPr>
                <w:ilvl w:val="0"/>
                <w:numId w:val="2"/>
              </w:numPr>
              <w:pBdr>
                <w:top w:space="0" w:sz="0" w:val="nil"/>
                <w:left w:space="0" w:sz="0" w:val="nil"/>
                <w:bottom w:space="0" w:sz="0" w:val="nil"/>
                <w:right w:space="0" w:sz="0" w:val="nil"/>
                <w:between w:space="0" w:sz="0" w:val="nil"/>
              </w:pBdr>
              <w:ind w:left="979" w:hanging="360"/>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Des résultats explicables fournis aux utilisateurs finaux, des rapports publics sur les performances algorithmiques et la détection de biais, et des procédures accessibles de contestation et de recours pour les citoyens concernés par les décisions assistées par l’IA ;</w:t>
            </w:r>
            <w:r w:rsidDel="00000000" w:rsidR="00000000" w:rsidRPr="00000000">
              <w:rPr>
                <w:rtl w:val="0"/>
              </w:rPr>
            </w:r>
          </w:p>
          <w:p w:rsidR="00000000" w:rsidDel="00000000" w:rsidP="00000000" w:rsidRDefault="00000000" w:rsidRPr="00000000" w14:paraId="0000010C">
            <w:pPr>
              <w:numPr>
                <w:ilvl w:val="0"/>
                <w:numId w:val="2"/>
              </w:numPr>
              <w:pBdr>
                <w:top w:space="0" w:sz="0" w:val="nil"/>
                <w:left w:space="0" w:sz="0" w:val="nil"/>
                <w:bottom w:space="0" w:sz="0" w:val="nil"/>
                <w:right w:space="0" w:sz="0" w:val="nil"/>
                <w:between w:space="0" w:sz="0" w:val="nil"/>
              </w:pBdr>
              <w:ind w:left="979" w:hanging="360"/>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Des protocoles de contrôle humain garantissant qu’aucune décision touchant aux droits fondamentaux n’est prise sans examen humain significatif, ainsi que des politiques empêchant l’IA de présélectionner, de restreindre ou de remplacer la capacité d’action des citoyens dans les processus délibératifs.</w:t>
            </w:r>
          </w:p>
          <w:p w:rsidR="00000000" w:rsidDel="00000000" w:rsidP="00000000" w:rsidRDefault="00000000" w:rsidRPr="00000000" w14:paraId="0000010D">
            <w:pPr>
              <w:pBdr>
                <w:top w:space="0" w:sz="0" w:val="nil"/>
                <w:left w:space="0" w:sz="0" w:val="nil"/>
                <w:bottom w:space="0" w:sz="0" w:val="nil"/>
                <w:right w:space="0" w:sz="0" w:val="nil"/>
                <w:between w:space="0" w:sz="0" w:val="nil"/>
              </w:pBdr>
              <w:ind w:left="979" w:firstLine="0"/>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0E">
            <w:pPr>
              <w:spacing w:after="120" w:lineRule="auto"/>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980000"/>
                <w:sz w:val="20"/>
                <w:szCs w:val="20"/>
                <w:rtl w:val="0"/>
              </w:rPr>
              <w:t xml:space="preserve">200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10F">
            <w:pPr>
              <w:spacing w:after="120" w:lineRule="auto"/>
              <w:jc w:val="both"/>
              <w:rPr>
                <w:rFonts w:ascii="Calibri" w:cs="Calibri" w:eastAsia="Calibri" w:hAnsi="Calibri"/>
                <w:color w:val="141414"/>
                <w:sz w:val="20"/>
                <w:szCs w:val="20"/>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Maîtrise et résilience des infrastructures :</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Cette dimension évalue les stratégies visant à réduire la dépendance aux grands fournisseurs technologiques mondiaux et à bâtir une souveraineté informatique, en garantissant que les fondements physiques et techniques de l’IA locale restent sous contrôle local et que les services essentiels demeurent résilients.</w:t>
            </w:r>
          </w:p>
          <w:p w:rsidR="00000000" w:rsidDel="00000000" w:rsidP="00000000" w:rsidRDefault="00000000" w:rsidRPr="00000000" w14:paraId="00000112">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Veuillez décrire les mesures et instruments en place. Le jury recherchera notamment des preuves telles que :</w:t>
            </w:r>
          </w:p>
          <w:p w:rsidR="00000000" w:rsidDel="00000000" w:rsidP="00000000" w:rsidRDefault="00000000" w:rsidRPr="00000000" w14:paraId="00000114">
            <w:pPr>
              <w:pBdr>
                <w:top w:space="0" w:sz="0" w:val="nil"/>
                <w:left w:space="0" w:sz="0" w:val="nil"/>
                <w:bottom w:space="0" w:sz="0" w:val="nil"/>
                <w:right w:space="0" w:sz="0" w:val="nil"/>
                <w:between w:space="0" w:sz="0" w:val="nil"/>
              </w:pBdr>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15">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La localisation actuelle des capacités de calcul (nuage mondial, nuage national, sur site, en périphérie, partagé), accompagnée d’une justification documentée et d’une feuille de route vers une localisation accrue, y compris le recours à des capacités de calcul partagées ou coopératives régies par des structures démocratiques ;</w:t>
            </w:r>
            <w:r w:rsidDel="00000000" w:rsidR="00000000" w:rsidRPr="00000000">
              <w:rPr>
                <w:rtl w:val="0"/>
              </w:rPr>
            </w:r>
          </w:p>
          <w:p w:rsidR="00000000" w:rsidDel="00000000" w:rsidP="00000000" w:rsidRDefault="00000000" w:rsidRPr="00000000" w14:paraId="00000116">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Des protocoles de redondance, de sécurité en cas de défaillance et de fonctionnement manuel de secours garantissant la continuité des services essentiels en cas de panne, ainsi que des protocoles de reprise après sinistre et de sauvegarde testés au cours des douze derniers mois ;</w:t>
            </w:r>
            <w:r w:rsidDel="00000000" w:rsidR="00000000" w:rsidRPr="00000000">
              <w:rPr>
                <w:rtl w:val="0"/>
              </w:rPr>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Des dispositions des marchés publics assurant la portabilité des données et des modèles, une période minimale de transition en cas de rupture avec un fournisseur, des stratégies multifournisseurs et l’implication des communautés dans la définition des critères d’infrastructure.</w:t>
            </w:r>
          </w:p>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left" w:leader="none" w:pos="0"/>
              </w:tabs>
              <w:ind w:left="709" w:firstLine="0"/>
              <w:jc w:val="both"/>
              <w:rPr>
                <w:rFonts w:ascii="Calibri" w:cs="Calibri" w:eastAsia="Calibri" w:hAnsi="Calibri"/>
                <w:i w:val="1"/>
                <w:iCs w:val="1"/>
                <w:color w:val="141414"/>
                <w:sz w:val="20"/>
                <w:szCs w:val="20"/>
              </w:rPr>
            </w:pPr>
            <w:r w:rsidDel="00000000" w:rsidR="00000000" w:rsidRPr="00000000">
              <w:rPr>
                <w:rtl w:val="0"/>
              </w:rPr>
            </w:r>
          </w:p>
          <w:p w:rsidR="00000000" w:rsidDel="00000000" w:rsidP="00000000" w:rsidRDefault="00000000" w:rsidRPr="00000000" w14:paraId="00000119">
            <w:pPr>
              <w:spacing w:after="120" w:lineRule="auto"/>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 </w:t>
            </w:r>
            <w:r w:rsidDel="00000000" w:rsidR="00000000" w:rsidRPr="00000000">
              <w:rPr>
                <w:rFonts w:ascii="Calibri" w:cs="Calibri" w:eastAsia="Calibri" w:hAnsi="Calibri"/>
                <w:i w:val="1"/>
                <w:iCs w:val="1"/>
                <w:color w:val="980000"/>
                <w:sz w:val="20"/>
                <w:szCs w:val="20"/>
                <w:rtl w:val="0"/>
              </w:rPr>
              <w:t xml:space="preserve">200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11A">
            <w:pPr>
              <w:spacing w:after="120" w:lineRule="auto"/>
              <w:jc w:val="both"/>
              <w:rPr>
                <w:rFonts w:ascii="Calibri" w:cs="Calibri" w:eastAsia="Calibri" w:hAnsi="Calibri"/>
                <w:color w:val="141414"/>
                <w:sz w:val="20"/>
                <w:szCs w:val="20"/>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spacing w:after="120" w:before="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141414"/>
                <w:sz w:val="20"/>
                <w:szCs w:val="20"/>
                <w:rtl w:val="0"/>
              </w:rPr>
              <w:t xml:space="preserve">Atténuation de l’impact environnemental :</w:t>
            </w: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Cette dimension évalue si la pratique comprend des mesures concrètes pour mesurer et réduire l’empreinte environnementale du déploiement de l’IA (énergie, eau, cycle de vie du matériel, déchets électroniques) et si la communauté participe à la définition des critères environnementaux.</w:t>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20" w:lineRule="auto"/>
              <w:jc w:val="both"/>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Veuillez décrire brièvement les mesures en place. Le jury recherchera notamment des preuves telles que :</w:t>
            </w:r>
            <w:r w:rsidDel="00000000" w:rsidR="00000000" w:rsidRPr="00000000">
              <w:rPr>
                <w:rtl w:val="0"/>
              </w:rPr>
            </w:r>
          </w:p>
          <w:p w:rsidR="00000000" w:rsidDel="00000000" w:rsidP="00000000" w:rsidRDefault="00000000" w:rsidRPr="00000000" w14:paraId="0000011E">
            <w:pPr>
              <w:numPr>
                <w:ilvl w:val="0"/>
                <w:numId w:val="3"/>
              </w:numPr>
              <w:pBdr>
                <w:top w:space="0" w:sz="0" w:val="nil"/>
                <w:left w:space="0" w:sz="0" w:val="nil"/>
                <w:bottom w:space="0" w:sz="0" w:val="nil"/>
                <w:right w:space="0" w:sz="0" w:val="nil"/>
                <w:between w:space="0" w:sz="0" w:val="nil"/>
              </w:pBdr>
              <w:tabs>
                <w:tab w:val="left" w:leader="none" w:pos="0"/>
              </w:tabs>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Une évaluation de l’empreinte carbone ou matérielle des systèmes d’IA accompagnée de données rendues publiques, associée à des architectures économes en énergie, une planification écologique des calculs, des énergies renouvelables ou une mutualisation des calculs pour réduire la consommation ;</w:t>
            </w:r>
            <w:r w:rsidDel="00000000" w:rsidR="00000000" w:rsidRPr="00000000">
              <w:rPr>
                <w:rtl w:val="0"/>
              </w:rPr>
            </w:r>
          </w:p>
          <w:p w:rsidR="00000000" w:rsidDel="00000000" w:rsidP="00000000" w:rsidRDefault="00000000" w:rsidRPr="00000000" w14:paraId="0000011F">
            <w:pPr>
              <w:numPr>
                <w:ilvl w:val="0"/>
                <w:numId w:val="3"/>
              </w:numPr>
              <w:pBdr>
                <w:top w:space="0" w:sz="0" w:val="nil"/>
                <w:left w:space="0" w:sz="0" w:val="nil"/>
                <w:bottom w:space="0" w:sz="0" w:val="nil"/>
                <w:right w:space="0" w:sz="0" w:val="nil"/>
                <w:between w:space="0" w:sz="0" w:val="nil"/>
              </w:pBdr>
              <w:tabs>
                <w:tab w:val="left" w:leader="none" w:pos="0"/>
              </w:tabs>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pratiques de gestion des déchets électroniques et d’économie circulaire (achats privilégiant la longévité, recyclage en fin de vie, partenariats avec des initiatives locales d’économie circulaire) intégrées à la stratégie municipale de durabilité ou d’économie circulaire ;</w:t>
            </w:r>
            <w:r w:rsidDel="00000000" w:rsidR="00000000" w:rsidRPr="00000000">
              <w:rPr>
                <w:rtl w:val="0"/>
              </w:rPr>
            </w:r>
          </w:p>
          <w:p w:rsidR="00000000" w:rsidDel="00000000" w:rsidP="00000000" w:rsidRDefault="00000000" w:rsidRPr="00000000" w14:paraId="00000120">
            <w:pPr>
              <w:numPr>
                <w:ilvl w:val="0"/>
                <w:numId w:val="3"/>
              </w:numPr>
              <w:pBdr>
                <w:top w:space="0" w:sz="0" w:val="nil"/>
                <w:left w:space="0" w:sz="0" w:val="nil"/>
                <w:bottom w:space="0" w:sz="0" w:val="nil"/>
                <w:right w:space="0" w:sz="0" w:val="nil"/>
                <w:between w:space="0" w:sz="0" w:val="nil"/>
              </w:pBdr>
              <w:tabs>
                <w:tab w:val="left" w:leader="none" w:pos="0"/>
              </w:tabs>
              <w:spacing w:after="140"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La participation des citoyens à la définition des critères environnementaux ou à la surveillance des performances environnementales des infrastructures d’IA, avec intégration de cette gouvernance environnementale au Plan d’action climatique local.</w:t>
            </w:r>
            <w:r w:rsidDel="00000000" w:rsidR="00000000" w:rsidRPr="00000000">
              <w:rPr>
                <w:rtl w:val="0"/>
              </w:rPr>
            </w:r>
          </w:p>
          <w:p w:rsidR="00000000" w:rsidDel="00000000" w:rsidP="00000000" w:rsidRDefault="00000000" w:rsidRPr="00000000" w14:paraId="00000121">
            <w:pPr>
              <w:spacing w:after="120" w:lineRule="auto"/>
              <w:jc w:val="both"/>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141414"/>
                <w:sz w:val="20"/>
                <w:szCs w:val="20"/>
                <w:rtl w:val="0"/>
              </w:rPr>
              <w:t xml:space="preserve"> </w:t>
            </w:r>
            <w:r w:rsidDel="00000000" w:rsidR="00000000" w:rsidRPr="00000000">
              <w:rPr>
                <w:rFonts w:ascii="Calibri" w:cs="Calibri" w:eastAsia="Calibri" w:hAnsi="Calibri"/>
                <w:i w:val="1"/>
                <w:iCs w:val="1"/>
                <w:color w:val="980000"/>
                <w:sz w:val="20"/>
                <w:szCs w:val="20"/>
                <w:rtl w:val="0"/>
              </w:rPr>
              <w:t xml:space="preserve">200 mots maximum</w:t>
            </w:r>
            <w:r w:rsidDel="00000000" w:rsidR="00000000" w:rsidRPr="00000000">
              <w:rPr>
                <w:rFonts w:ascii="Calibri" w:cs="Calibri" w:eastAsia="Calibri" w:hAnsi="Calibri"/>
                <w:i w:val="1"/>
                <w:iCs w:val="1"/>
                <w:color w:val="141414"/>
                <w:sz w:val="20"/>
                <w:szCs w:val="20"/>
                <w:rtl w:val="0"/>
              </w:rPr>
              <w:t xml:space="preserve">.</w:t>
            </w:r>
          </w:p>
          <w:p w:rsidR="00000000" w:rsidDel="00000000" w:rsidP="00000000" w:rsidRDefault="00000000" w:rsidRPr="00000000" w14:paraId="00000122">
            <w:pPr>
              <w:spacing w:after="120" w:lineRule="auto"/>
              <w:jc w:val="both"/>
              <w:rPr>
                <w:rFonts w:ascii="Calibri" w:cs="Calibri" w:eastAsia="Calibri" w:hAnsi="Calibri"/>
                <w:color w:val="141414"/>
                <w:sz w:val="20"/>
                <w:szCs w:val="20"/>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140" w:before="20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141414"/>
                <w:sz w:val="20"/>
                <w:szCs w:val="20"/>
                <w:rtl w:val="0"/>
              </w:rPr>
              <w:t xml:space="preserve">Cohérence avec les principes et coordination avec les autres niveaux de gouvernance locale et supralocale de l’IA</w:t>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140" w:line="276" w:lineRule="auto"/>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Cette dimension évalue la stratégie et les actions mises en œuvre pour traduire les valeurs en pratique et coordonner la gouvernance de l’IA des processus participatifs avec les autres niveaux de gouvernance locale et supralocale de l’IA.</w:t>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L’évaluation de cette dimension transversale porte sur les mesures prises pour respecter, défendre et appliquer les principes de participation citoyenne, de droits humains et environnementaux, de souveraineté des données, de transparence et d’autonomie algorithmiques et de résilience des infrastructures, en lien avec les autres niveaux de gouvernance locale et supralocale de l’IA. Elle valorise la coopération entre entités publiques et privées de tailles, capacités et ressources différentes, ainsi que les démarches de solidarité et de subsidiarité permettant aux petites organisations de relever des exigences auxquelles elles ne pourraient satisfaire seules.</w:t>
            </w: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lineRule="auto"/>
              <w:jc w:val="both"/>
              <w:rPr>
                <w:rFonts w:ascii="Calibri" w:cs="Calibri" w:eastAsia="Calibri" w:hAnsi="Calibri"/>
                <w:i w:val="1"/>
                <w:iCs w:val="1"/>
                <w:sz w:val="24"/>
                <w:szCs w:val="24"/>
              </w:rPr>
            </w:pPr>
            <w:r w:rsidDel="00000000" w:rsidR="00000000" w:rsidRPr="00000000">
              <w:rPr>
                <w:rFonts w:ascii="Calibri" w:cs="Calibri" w:eastAsia="Calibri" w:hAnsi="Calibri"/>
                <w:i w:val="1"/>
                <w:iCs w:val="1"/>
                <w:color w:val="141414"/>
                <w:sz w:val="20"/>
                <w:szCs w:val="20"/>
                <w:rtl w:val="0"/>
              </w:rPr>
              <w:t xml:space="preserve">Veuillez décrire brièvement les mesures en place. Le jury recherchera notamment les éléments suivants : </w:t>
            </w:r>
            <w:r w:rsidDel="00000000" w:rsidR="00000000" w:rsidRPr="00000000">
              <w:rPr>
                <w:rtl w:val="0"/>
              </w:rPr>
            </w:r>
          </w:p>
          <w:p w:rsidR="00000000" w:rsidDel="00000000" w:rsidP="00000000" w:rsidRDefault="00000000" w:rsidRPr="00000000" w14:paraId="00000127">
            <w:pPr>
              <w:numPr>
                <w:ilvl w:val="0"/>
                <w:numId w:val="3"/>
              </w:numPr>
              <w:spacing w:after="120" w:lineRule="auto"/>
              <w:ind w:left="212.59842519685043" w:hanging="285"/>
              <w:jc w:val="both"/>
              <w:rPr>
                <w:i w:val="1"/>
                <w:iCs w:val="1"/>
                <w:sz w:val="24"/>
                <w:szCs w:val="24"/>
              </w:rPr>
            </w:pPr>
            <w:r w:rsidDel="00000000" w:rsidR="00000000" w:rsidRPr="00000000">
              <w:rPr>
                <w:rFonts w:ascii="Calibri" w:cs="Calibri" w:eastAsia="Calibri" w:hAnsi="Calibri"/>
                <w:i w:val="1"/>
                <w:iCs w:val="1"/>
                <w:color w:val="141414"/>
                <w:sz w:val="20"/>
                <w:szCs w:val="20"/>
                <w:rtl w:val="0"/>
              </w:rPr>
              <w:t xml:space="preserve">L’existence d’une stratégie ou d’un plan de coordination formalisé définissant les objectifs, priorités et responsabilités des relations avec les niveaux municipal, régional, national, européen et international de gouvernance de l’IA.</w:t>
            </w:r>
            <w:r w:rsidDel="00000000" w:rsidR="00000000" w:rsidRPr="00000000">
              <w:rPr>
                <w:rtl w:val="0"/>
              </w:rPr>
            </w:r>
          </w:p>
          <w:p w:rsidR="00000000" w:rsidDel="00000000" w:rsidP="00000000" w:rsidRDefault="00000000" w:rsidRPr="00000000" w14:paraId="00000128">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L’existence d’une cartographie des règles locales et supralocales applicables à l’IA (p. ex. règlement européen sur l’IA, RGPD, règlement sur les données, normes nationales et régionales) et de leurs modalités de mise en œuvre locale.</w:t>
            </w:r>
            <w:r w:rsidDel="00000000" w:rsidR="00000000" w:rsidRPr="00000000">
              <w:rPr>
                <w:rtl w:val="0"/>
              </w:rPr>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preuves attestant que les règles et pratiques locales respectent les cadres supralocaux tout en préservant les principes de participation, les droits, la souveraineté des données, l’autonomie algorithmique et la résilience des infrastructures.</w:t>
            </w:r>
            <w:r w:rsidDel="00000000" w:rsidR="00000000" w:rsidRPr="00000000">
              <w:rPr>
                <w:rtl w:val="0"/>
              </w:rPr>
            </w:r>
          </w:p>
          <w:p w:rsidR="00000000" w:rsidDel="00000000" w:rsidP="00000000" w:rsidRDefault="00000000" w:rsidRPr="00000000" w14:paraId="0000012A">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groupes de travail, instances permanentes ou protocoles avec d’autres autorités et organismes de gouvernance sur la gouvernance de l’IA dans les processus participatifs.</w:t>
            </w:r>
            <w:r w:rsidDel="00000000" w:rsidR="00000000" w:rsidRPr="00000000">
              <w:rPr>
                <w:rtl w:val="0"/>
              </w:rPr>
            </w:r>
          </w:p>
          <w:p w:rsidR="00000000" w:rsidDel="00000000" w:rsidP="00000000" w:rsidRDefault="00000000" w:rsidRPr="00000000" w14:paraId="0000012B">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protocoles d’accord, protocoles ou conventions avec d’autres niveaux de gouvernement ou organismes publics.</w:t>
            </w:r>
            <w:r w:rsidDel="00000000" w:rsidR="00000000" w:rsidRPr="00000000">
              <w:rPr>
                <w:rtl w:val="0"/>
              </w:rPr>
            </w:r>
          </w:p>
          <w:p w:rsidR="00000000" w:rsidDel="00000000" w:rsidP="00000000" w:rsidRDefault="00000000" w:rsidRPr="00000000" w14:paraId="0000012C">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mesures empêchant que des plateformes, normes ou accords-cadres imposés par d’autres niveaux n’engendrent une dépendance captive envers un fournisseur ou n’affaiblissent le contrôle local des données, algorithmes et infrastructures.</w:t>
            </w:r>
            <w:r w:rsidDel="00000000" w:rsidR="00000000" w:rsidRPr="00000000">
              <w:rPr>
                <w:rtl w:val="0"/>
              </w:rPr>
            </w:r>
          </w:p>
          <w:p w:rsidR="00000000" w:rsidDel="00000000" w:rsidP="00000000" w:rsidRDefault="00000000" w:rsidRPr="00000000" w14:paraId="0000012D">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Des résolutions, documents de position ou déclarations adoptés par l’autorité locale concernant des politiques supralocales d’IA ayant une incidence sur la communauté.</w:t>
            </w:r>
            <w:r w:rsidDel="00000000" w:rsidR="00000000" w:rsidRPr="00000000">
              <w:rPr>
                <w:rtl w:val="0"/>
              </w:rPr>
            </w:r>
          </w:p>
          <w:p w:rsidR="00000000" w:rsidDel="00000000" w:rsidP="00000000" w:rsidRDefault="00000000" w:rsidRPr="00000000" w14:paraId="0000012E">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bookmarkStart w:colFirst="0" w:colLast="0" w:name="_heading=h.bti23dasuy2" w:id="2"/>
            <w:bookmarkEnd w:id="2"/>
            <w:r w:rsidDel="00000000" w:rsidR="00000000" w:rsidRPr="00000000">
              <w:rPr>
                <w:rFonts w:ascii="Calibri" w:cs="Calibri" w:eastAsia="Calibri" w:hAnsi="Calibri"/>
                <w:i w:val="1"/>
                <w:iCs w:val="1"/>
                <w:color w:val="141414"/>
                <w:sz w:val="20"/>
                <w:szCs w:val="20"/>
                <w:rtl w:val="0"/>
              </w:rPr>
              <w:t xml:space="preserve">La participation des citoyens et des communautés à l’élaboration ou au suivi des politiques supralocales d’IA qui les concernent (consultations, délégations, suivi conjoint).</w:t>
            </w:r>
            <w:r w:rsidDel="00000000" w:rsidR="00000000" w:rsidRPr="00000000">
              <w:rPr>
                <w:rtl w:val="0"/>
              </w:rPr>
            </w:r>
          </w:p>
          <w:p w:rsidR="00000000" w:rsidDel="00000000" w:rsidP="00000000" w:rsidRDefault="00000000" w:rsidRPr="00000000" w14:paraId="0000012F">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12.59842519685043" w:hanging="285"/>
              <w:rPr>
                <w:i w:val="1"/>
                <w:iCs w:val="1"/>
                <w:color w:val="000000"/>
                <w:sz w:val="24"/>
                <w:szCs w:val="24"/>
              </w:rPr>
            </w:pPr>
            <w:r w:rsidDel="00000000" w:rsidR="00000000" w:rsidRPr="00000000">
              <w:rPr>
                <w:rFonts w:ascii="Calibri" w:cs="Calibri" w:eastAsia="Calibri" w:hAnsi="Calibri"/>
                <w:i w:val="1"/>
                <w:iCs w:val="1"/>
                <w:color w:val="141414"/>
                <w:sz w:val="20"/>
                <w:szCs w:val="20"/>
                <w:rtl w:val="0"/>
              </w:rPr>
              <w:t xml:space="preserve">Une adhésion active à des réseaux de villes, initiatives coopératives ou programmes d’apprentissage entre pairs en matière de gouvernance de l’IA.</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left" w:leader="none" w:pos="0"/>
              </w:tabs>
              <w:ind w:left="0" w:firstLine="0"/>
              <w:rPr>
                <w:rFonts w:ascii="Calibri" w:cs="Calibri" w:eastAsia="Calibri" w:hAnsi="Calibri"/>
                <w:i w:val="1"/>
                <w:iCs w:val="1"/>
                <w:color w:val="141414"/>
                <w:sz w:val="20"/>
                <w:szCs w:val="20"/>
              </w:rPr>
            </w:pPr>
            <w:r w:rsidDel="00000000" w:rsidR="00000000" w:rsidRPr="00000000">
              <w:rPr>
                <w:rFonts w:ascii="Calibri" w:cs="Calibri" w:eastAsia="Calibri" w:hAnsi="Calibri"/>
                <w:i w:val="1"/>
                <w:iCs w:val="1"/>
                <w:color w:val="980000"/>
                <w:sz w:val="20"/>
                <w:szCs w:val="20"/>
                <w:rtl w:val="0"/>
              </w:rPr>
              <w:t xml:space="preserve">200 mots maximum.</w:t>
            </w: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left" w:leader="none" w:pos="0"/>
              </w:tabs>
              <w:ind w:left="0" w:firstLine="0"/>
              <w:rPr>
                <w:rFonts w:ascii="Calibri" w:cs="Calibri" w:eastAsia="Calibri" w:hAnsi="Calibri"/>
                <w:color w:val="141414"/>
                <w:sz w:val="20"/>
                <w:szCs w:val="20"/>
              </w:rPr>
            </w:pPr>
            <w:r w:rsidDel="00000000" w:rsidR="00000000" w:rsidRPr="00000000">
              <w:rPr>
                <w:rtl w:val="0"/>
              </w:rPr>
            </w:r>
          </w:p>
        </w:tc>
      </w:tr>
    </w:tbl>
    <w:p w:rsidR="00000000" w:rsidDel="00000000" w:rsidP="00000000" w:rsidRDefault="00000000" w:rsidRPr="00000000" w14:paraId="00000132">
      <w:pPr>
        <w:spacing w:after="12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3">
      <w:pPr>
        <w:spacing w:after="12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color w:val="141414"/>
          <w:sz w:val="20"/>
          <w:szCs w:val="20"/>
          <w:rtl w:val="0"/>
        </w:rPr>
        <w:t xml:space="preserve">Merci de votre participation !</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tabs>
        <w:tab w:val="center" w:leader="none" w:pos="4513"/>
        <w:tab w:val="right" w:leader="none" w:pos="9026"/>
      </w:tabs>
      <w:spacing w:line="360" w:lineRule="auto"/>
      <w:jc w:val="right"/>
      <w:rPr/>
    </w:pPr>
    <w:r w:rsidDel="00000000" w:rsidR="00000000" w:rsidRPr="00000000">
      <w:rPr/>
      <w:drawing>
        <wp:inline distB="0" distT="0" distL="0" distR="0">
          <wp:extent cx="5731510" cy="677545"/>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510" cy="677545"/>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tabs>
        <w:tab w:val="center" w:leader="none" w:pos="4513"/>
        <w:tab w:val="right" w:leader="none" w:pos="9026"/>
      </w:tabs>
      <w:spacing w:line="360" w:lineRule="auto"/>
      <w:jc w:val="right"/>
      <w:rPr>
        <w:rFonts w:ascii="Roboto Light" w:cs="Roboto Light" w:eastAsia="Roboto Light" w:hAnsi="Roboto Light"/>
        <w:color w:val="000000"/>
        <w:sz w:val="18"/>
        <w:szCs w:val="18"/>
      </w:rPr>
    </w:pPr>
    <w:hyperlink r:id="rId2">
      <w:r w:rsidDel="00000000" w:rsidR="00000000" w:rsidRPr="00000000">
        <w:rPr>
          <w:rFonts w:ascii="Roboto Light" w:cs="Roboto Light" w:eastAsia="Roboto Light" w:hAnsi="Roboto Light"/>
          <w:color w:val="1155cc"/>
          <w:sz w:val="18"/>
          <w:szCs w:val="18"/>
          <w:u w:val="single"/>
          <w:rtl w:val="0"/>
        </w:rPr>
        <w:t xml:space="preserve">https://www.oidp.net/fr/index.php</w:t>
      </w:r>
    </w:hyperlink>
    <w:r w:rsidDel="00000000" w:rsidR="00000000" w:rsidRPr="00000000">
      <w:rPr>
        <w:rFonts w:ascii="Roboto Light" w:cs="Roboto Light" w:eastAsia="Roboto Light" w:hAnsi="Roboto Light"/>
        <w:color w:val="000000"/>
        <w:sz w:val="18"/>
        <w:szCs w:val="18"/>
        <w:rtl w:val="0"/>
      </w:rPr>
      <w:tab/>
      <w:tab/>
    </w:r>
    <w:hyperlink r:id="rId3">
      <w:r w:rsidDel="00000000" w:rsidR="00000000" w:rsidRPr="00000000">
        <w:rPr>
          <w:rFonts w:ascii="Roboto Light" w:cs="Roboto Light" w:eastAsia="Roboto Light" w:hAnsi="Roboto Light"/>
          <w:color w:val="1155cc"/>
          <w:sz w:val="18"/>
          <w:szCs w:val="18"/>
          <w:u w:val="single"/>
          <w:rtl w:val="0"/>
        </w:rPr>
        <w:t xml:space="preserve">oidp@uclg.org</w:t>
      </w:r>
    </w:hyperlink>
    <w:r w:rsidDel="00000000" w:rsidR="00000000" w:rsidRPr="00000000">
      <w:rPr>
        <w:rFonts w:ascii="Roboto Light" w:cs="Roboto Light" w:eastAsia="Roboto Light" w:hAnsi="Roboto Light"/>
        <w:color w:val="000000"/>
        <w:sz w:val="18"/>
        <w:szCs w:val="18"/>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1"/>
      <w:spacing w:after="60" w:lineRule="auto"/>
      <w:rPr>
        <w:rFonts w:ascii="Roboto" w:cs="Roboto" w:eastAsia="Roboto" w:hAnsi="Roboto"/>
        <w:b w:val="1"/>
        <w:bCs w:val="1"/>
        <w:color w:val="3c8528"/>
      </w:rPr>
    </w:pPr>
    <w:r w:rsidDel="00000000" w:rsidR="00000000" w:rsidRPr="00000000">
      <w:rPr>
        <w:rFonts w:ascii="Roboto" w:cs="Roboto" w:eastAsia="Roboto" w:hAnsi="Roboto"/>
        <w:b w:val="1"/>
        <w:bCs w:val="1"/>
        <w:color w:val="3c8528"/>
        <w:sz w:val="24"/>
        <w:szCs w:val="24"/>
        <w:rtl w:val="0"/>
      </w:rPr>
      <w:t xml:space="preserve">Formulaire de candidature</w:t>
    </w:r>
    <w:r w:rsidDel="00000000" w:rsidR="00000000" w:rsidRPr="00000000">
      <w:rPr>
        <w:rFonts w:ascii="Roboto" w:cs="Roboto" w:eastAsia="Roboto" w:hAnsi="Roboto"/>
        <w:b w:val="1"/>
        <w:bCs w:val="1"/>
        <w:color w:val="3c8528"/>
        <w:rtl w:val="0"/>
      </w:rPr>
      <w:tab/>
      <w:tab/>
    </w:r>
    <w:r w:rsidDel="00000000" w:rsidR="00000000" w:rsidRPr="00000000">
      <w:rPr>
        <w:rFonts w:ascii="Roboto" w:cs="Roboto" w:eastAsia="Roboto" w:hAnsi="Roboto"/>
        <w:b w:val="1"/>
        <w:bCs w:val="1"/>
        <w:color w:val="3c8528"/>
        <w:sz w:val="24"/>
        <w:szCs w:val="24"/>
        <w:rtl w:val="0"/>
      </w:rPr>
      <w:tab/>
    </w:r>
    <w:r w:rsidDel="00000000" w:rsidR="00000000" w:rsidRPr="00000000">
      <w:rPr>
        <w:rFonts w:ascii="Roboto" w:cs="Roboto" w:eastAsia="Roboto" w:hAnsi="Roboto"/>
        <w:b w:val="1"/>
        <w:bCs w:val="1"/>
        <w:color w:val="3c8528"/>
        <w:rtl w:val="0"/>
      </w:rPr>
      <w:tab/>
    </w:r>
    <w:r w:rsidDel="00000000" w:rsidR="00000000" w:rsidRPr="00000000">
      <w:rPr>
        <w:rFonts w:ascii="Roboto" w:cs="Roboto" w:eastAsia="Roboto" w:hAnsi="Roboto"/>
        <w:b w:val="1"/>
        <w:bCs w:val="1"/>
        <w:sz w:val="24"/>
        <w:szCs w:val="24"/>
      </w:rPr>
      <w:drawing>
        <wp:inline distB="114300" distT="114300" distL="114300" distR="114300">
          <wp:extent cx="2101850" cy="571500"/>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1850" cy="571500"/>
                  </a:xfrm>
                  <a:prstGeom prst="rect"/>
                  <a:ln/>
                </pic:spPr>
              </pic:pic>
            </a:graphicData>
          </a:graphic>
        </wp:inline>
      </w:drawing>
    </w:r>
    <w:r w:rsidDel="00000000" w:rsidR="00000000" w:rsidRPr="00000000">
      <w:rPr>
        <w:rFonts w:ascii="Roboto" w:cs="Roboto" w:eastAsia="Roboto" w:hAnsi="Roboto"/>
        <w:b w:val="1"/>
        <w:bCs w:val="1"/>
        <w:sz w:val="24"/>
        <w:szCs w:val="24"/>
        <w:rtl w:val="0"/>
      </w:rPr>
      <w:tab/>
    </w:r>
    <w:r w:rsidDel="00000000" w:rsidR="00000000" w:rsidRPr="00000000">
      <w:rPr>
        <w:rtl w:val="0"/>
      </w:rPr>
    </w:r>
  </w:p>
  <w:p w:rsidR="00000000" w:rsidDel="00000000" w:rsidP="00000000" w:rsidRDefault="00000000" w:rsidRPr="00000000" w14:paraId="00000136">
    <w:pPr>
      <w:keepNext w:val="1"/>
      <w:spacing w:after="60" w:lineRule="auto"/>
      <w:rPr>
        <w:rFonts w:ascii="Roboto" w:cs="Roboto" w:eastAsia="Roboto" w:hAnsi="Roboto"/>
        <w:b w:val="1"/>
        <w:bCs w:val="1"/>
        <w:color w:val="3c8528"/>
      </w:rPr>
    </w:pPr>
    <w:r w:rsidDel="00000000" w:rsidR="00000000" w:rsidRPr="00000000">
      <w:rPr>
        <w:rFonts w:ascii="Roboto" w:cs="Roboto" w:eastAsia="Roboto" w:hAnsi="Roboto"/>
        <w:b w:val="1"/>
        <w:bCs w:val="1"/>
        <w:color w:val="3c8528"/>
        <w:rtl w:val="0"/>
      </w:rPr>
      <w:tab/>
      <w:tab/>
      <w:tab/>
    </w:r>
    <w:r w:rsidDel="00000000" w:rsidR="00000000" w:rsidRPr="00000000">
      <w:rPr>
        <w:rFonts w:ascii="Roboto" w:cs="Roboto" w:eastAsia="Roboto" w:hAnsi="Roboto"/>
        <w:b w:val="1"/>
        <w:bCs w:val="1"/>
        <w:sz w:val="24"/>
        <w:szCs w:val="24"/>
        <w:rtl w:val="0"/>
      </w:rPr>
      <w:tab/>
    </w:r>
    <w:r w:rsidDel="00000000" w:rsidR="00000000" w:rsidRPr="00000000">
      <w:rPr>
        <w:rtl w:val="0"/>
      </w:rPr>
    </w:r>
  </w:p>
  <w:p w:rsidR="00000000" w:rsidDel="00000000" w:rsidP="00000000" w:rsidRDefault="00000000" w:rsidRPr="00000000" w14:paraId="00000137">
    <w:pPr>
      <w:tabs>
        <w:tab w:val="center" w:leader="none" w:pos="4153"/>
        <w:tab w:val="right" w:leader="none" w:pos="8306"/>
      </w:tabs>
      <w:jc w:val="center"/>
      <w:rPr>
        <w:color w:val="000000"/>
        <w:sz w:val="18"/>
        <w:szCs w:val="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2">
    <w:lvl w:ilvl="0">
      <w:start w:val="1"/>
      <w:numFmt w:val="bullet"/>
      <w:lvlText w:val="●"/>
      <w:lvlJc w:val="left"/>
      <w:pPr>
        <w:ind w:left="979" w:hanging="360"/>
      </w:pPr>
      <w:rPr>
        <w:rFonts w:ascii="Noto Sans Symbols" w:cs="Noto Sans Symbols" w:eastAsia="Noto Sans Symbols" w:hAnsi="Noto Sans Symbols"/>
      </w:rPr>
    </w:lvl>
    <w:lvl w:ilvl="1">
      <w:start w:val="1"/>
      <w:numFmt w:val="bullet"/>
      <w:lvlText w:val="◦"/>
      <w:lvlJc w:val="left"/>
      <w:pPr>
        <w:ind w:left="1339" w:hanging="360"/>
      </w:pPr>
      <w:rPr>
        <w:rFonts w:ascii="Noto Sans Symbols" w:cs="Noto Sans Symbols" w:eastAsia="Noto Sans Symbols" w:hAnsi="Noto Sans Symbols"/>
      </w:rPr>
    </w:lvl>
    <w:lvl w:ilvl="2">
      <w:start w:val="1"/>
      <w:numFmt w:val="bullet"/>
      <w:lvlText w:val="▪"/>
      <w:lvlJc w:val="left"/>
      <w:pPr>
        <w:ind w:left="1699" w:hanging="360"/>
      </w:pPr>
      <w:rPr>
        <w:rFonts w:ascii="Noto Sans Symbols" w:cs="Noto Sans Symbols" w:eastAsia="Noto Sans Symbols" w:hAnsi="Noto Sans Symbols"/>
      </w:rPr>
    </w:lvl>
    <w:lvl w:ilvl="3">
      <w:start w:val="1"/>
      <w:numFmt w:val="bullet"/>
      <w:lvlText w:val="●"/>
      <w:lvlJc w:val="left"/>
      <w:pPr>
        <w:ind w:left="2059" w:hanging="360"/>
      </w:pPr>
      <w:rPr>
        <w:rFonts w:ascii="Noto Sans Symbols" w:cs="Noto Sans Symbols" w:eastAsia="Noto Sans Symbols" w:hAnsi="Noto Sans Symbols"/>
      </w:rPr>
    </w:lvl>
    <w:lvl w:ilvl="4">
      <w:start w:val="1"/>
      <w:numFmt w:val="bullet"/>
      <w:lvlText w:val="◦"/>
      <w:lvlJc w:val="left"/>
      <w:pPr>
        <w:ind w:left="2419" w:hanging="360"/>
      </w:pPr>
      <w:rPr>
        <w:rFonts w:ascii="Noto Sans Symbols" w:cs="Noto Sans Symbols" w:eastAsia="Noto Sans Symbols" w:hAnsi="Noto Sans Symbols"/>
      </w:rPr>
    </w:lvl>
    <w:lvl w:ilvl="5">
      <w:start w:val="1"/>
      <w:numFmt w:val="bullet"/>
      <w:lvlText w:val="▪"/>
      <w:lvlJc w:val="left"/>
      <w:pPr>
        <w:ind w:left="2779" w:hanging="360"/>
      </w:pPr>
      <w:rPr>
        <w:rFonts w:ascii="Noto Sans Symbols" w:cs="Noto Sans Symbols" w:eastAsia="Noto Sans Symbols" w:hAnsi="Noto Sans Symbols"/>
      </w:rPr>
    </w:lvl>
    <w:lvl w:ilvl="6">
      <w:start w:val="1"/>
      <w:numFmt w:val="bullet"/>
      <w:lvlText w:val="●"/>
      <w:lvlJc w:val="left"/>
      <w:pPr>
        <w:ind w:left="3139" w:hanging="360"/>
      </w:pPr>
      <w:rPr>
        <w:rFonts w:ascii="Noto Sans Symbols" w:cs="Noto Sans Symbols" w:eastAsia="Noto Sans Symbols" w:hAnsi="Noto Sans Symbols"/>
      </w:rPr>
    </w:lvl>
    <w:lvl w:ilvl="7">
      <w:start w:val="1"/>
      <w:numFmt w:val="bullet"/>
      <w:lvlText w:val="◦"/>
      <w:lvlJc w:val="left"/>
      <w:pPr>
        <w:ind w:left="3499" w:hanging="360"/>
      </w:pPr>
      <w:rPr>
        <w:rFonts w:ascii="Noto Sans Symbols" w:cs="Noto Sans Symbols" w:eastAsia="Noto Sans Symbols" w:hAnsi="Noto Sans Symbols"/>
      </w:rPr>
    </w:lvl>
    <w:lvl w:ilvl="8">
      <w:start w:val="1"/>
      <w:numFmt w:val="bullet"/>
      <w:lvlText w:val="▪"/>
      <w:lvlJc w:val="left"/>
      <w:pPr>
        <w:ind w:left="3859" w:hanging="360"/>
      </w:pPr>
      <w:rPr>
        <w:rFonts w:ascii="Noto Sans Symbols" w:cs="Noto Sans Symbols" w:eastAsia="Noto Sans Symbols" w:hAnsi="Noto Sans Symbols"/>
      </w:rPr>
    </w:lvl>
  </w:abstractNum>
  <w:abstractNum w:abstractNumId="3">
    <w:lvl w:ilvl="0">
      <w:start w:val="1"/>
      <w:numFmt w:val="bullet"/>
      <w:lvlText w:val="●"/>
      <w:lvlJc w:val="left"/>
      <w:pPr>
        <w:ind w:left="212.59842519685043" w:hanging="285"/>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4">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B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firstLine="709"/>
      <w:jc w:val="both"/>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extodecomentrioCarter" w:customStyle="1">
    <w:name w:val="Texto de comentário Caráter"/>
    <w:basedOn w:val="Tipodeletrapredefinidodopargrafo"/>
    <w:link w:val="Textodecomentrio"/>
    <w:qFormat w:val="1"/>
    <w:rPr>
      <w:sz w:val="20"/>
      <w:szCs w:val="20"/>
    </w:rPr>
  </w:style>
  <w:style w:type="character" w:styleId="Refdecomentrio">
    <w:name w:val="annotation reference"/>
    <w:basedOn w:val="Tipodeletrapredefinidodopargrafo"/>
    <w:qFormat w:val="1"/>
    <w:rPr>
      <w:sz w:val="16"/>
      <w:szCs w:val="16"/>
    </w:rPr>
  </w:style>
  <w:style w:type="character" w:styleId="TextodebaloCarter" w:customStyle="1">
    <w:name w:val="Texto de balão Caráter"/>
    <w:basedOn w:val="Tipodeletrapredefinidodopargrafo"/>
    <w:link w:val="Textodebalo"/>
    <w:qFormat w:val="1"/>
    <w:rPr>
      <w:rFonts w:ascii="Segoe UI" w:cs="Segoe UI" w:hAnsi="Segoe UI"/>
      <w:sz w:val="18"/>
      <w:szCs w:val="18"/>
    </w:rPr>
  </w:style>
  <w:style w:type="character" w:styleId="Hiperligao">
    <w:name w:val="Hyperlink"/>
    <w:rPr>
      <w:color w:val="000080"/>
      <w:u w:val="single"/>
    </w:rPr>
  </w:style>
  <w:style w:type="character" w:styleId="Nmerodelinha">
    <w:name w:val="line number"/>
  </w:style>
  <w:style w:type="character" w:styleId="nfase">
    <w:name w:val="Emphasis"/>
    <w:qFormat w:val="1"/>
    <w:rPr>
      <w:i w:val="1"/>
      <w:iCs w:val="1"/>
    </w:rPr>
  </w:style>
  <w:style w:type="character" w:styleId="Bullets" w:customStyle="1">
    <w:name w:val="Bullets"/>
    <w:qFormat w:val="1"/>
    <w:rPr>
      <w:rFonts w:ascii="OpenSymbol" w:cs="OpenSymbol" w:eastAsia="OpenSymbol" w:hAnsi="OpenSymbol"/>
    </w:rPr>
  </w:style>
  <w:style w:type="paragraph" w:styleId="Heading" w:customStyle="1">
    <w:name w:val="Heading"/>
    <w:basedOn w:val="Normal"/>
    <w:next w:val="Corpodetexto"/>
    <w:qFormat w:val="1"/>
    <w:pPr>
      <w:keepNext w:val="1"/>
      <w:spacing w:after="120" w:before="240"/>
    </w:pPr>
    <w:rPr>
      <w:rFonts w:ascii="Liberation Sans" w:cs="FreeSans" w:eastAsia="Noto Sans CJK SC" w:hAnsi="Liberation 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val="1"/>
    <w:pPr>
      <w:suppressLineNumbers w:val="1"/>
      <w:spacing w:after="120" w:before="120"/>
    </w:pPr>
    <w:rPr>
      <w:rFonts w:cs="FreeSans"/>
      <w:i w:val="1"/>
      <w:iCs w:val="1"/>
      <w:sz w:val="24"/>
      <w:szCs w:val="24"/>
    </w:rPr>
  </w:style>
  <w:style w:type="paragraph" w:styleId="Index" w:customStyle="1">
    <w:name w:val="Index"/>
    <w:basedOn w:val="Normal"/>
    <w:qFormat w:val="1"/>
    <w:pPr>
      <w:suppressLineNumbers w:val="1"/>
    </w:pPr>
    <w:rPr>
      <w:rFonts w:cs="FreeSans"/>
    </w:rPr>
  </w:style>
  <w:style w:type="paragraph" w:styleId="Textodecomentrio">
    <w:name w:val="annotation text"/>
    <w:basedOn w:val="Normal"/>
    <w:link w:val="TextodecomentrioCarter"/>
    <w:rPr>
      <w:sz w:val="20"/>
      <w:szCs w:val="20"/>
    </w:rPr>
  </w:style>
  <w:style w:type="paragraph" w:styleId="Textodebalo">
    <w:name w:val="Balloon Text"/>
    <w:basedOn w:val="Normal"/>
    <w:link w:val="TextodebaloCarter"/>
    <w:qFormat w:val="1"/>
    <w:rPr>
      <w:rFonts w:ascii="Segoe UI" w:cs="Segoe UI" w:hAnsi="Segoe UI"/>
      <w:sz w:val="18"/>
      <w:szCs w:val="18"/>
    </w:rPr>
  </w:style>
  <w:style w:type="paragraph" w:styleId="HeaderandFooter" w:customStyle="1">
    <w:name w:val="Header and Footer"/>
    <w:basedOn w:val="Normal"/>
    <w:qFormat w:val="1"/>
  </w:style>
  <w:style w:type="paragraph" w:styleId="Cabealho">
    <w:name w:val="header"/>
    <w:basedOn w:val="HeaderandFooter"/>
  </w:style>
  <w:style w:type="paragraph" w:styleId="Rodap">
    <w:name w:val="footer"/>
    <w:basedOn w:val="HeaderandFooter"/>
  </w:style>
  <w:style w:type="paragraph" w:styleId="HorizontalLine" w:customStyle="1">
    <w:name w:val="Horizontal Line"/>
    <w:basedOn w:val="Normal"/>
    <w:next w:val="Corpodetexto"/>
    <w:qFormat w:val="1"/>
    <w:pPr>
      <w:suppressLineNumbers w:val="1"/>
      <w:pBdr>
        <w:bottom w:color="808080" w:space="0" w:sz="2" w:val="double"/>
      </w:pBdr>
      <w:spacing w:after="283"/>
    </w:pPr>
    <w:rPr>
      <w:sz w:val="12"/>
      <w:szCs w:val="12"/>
    </w:rPr>
  </w:style>
  <w:style w:type="paragraph" w:styleId="TableContents" w:customStyle="1">
    <w:name w:val="Table Contents"/>
    <w:basedOn w:val="Normal"/>
    <w:qFormat w:val="1"/>
    <w:pPr>
      <w:widowControl w:val="0"/>
      <w:suppressLineNumbers w:val="1"/>
    </w:pPr>
  </w:style>
  <w:style w:type="paragraph" w:styleId="TableHeading" w:customStyle="1">
    <w:name w:val="Table Heading"/>
    <w:basedOn w:val="TableContents"/>
    <w:qFormat w:val="1"/>
    <w:pPr>
      <w:jc w:val="center"/>
    </w:pPr>
    <w:rPr>
      <w:b w:val="1"/>
      <w:bCs w:val="1"/>
    </w:rPr>
  </w:style>
  <w:style w:type="paragraph" w:styleId="Assuntodecomentrio">
    <w:name w:val="annotation subject"/>
    <w:basedOn w:val="Textodecomentrio"/>
    <w:next w:val="Textodecomentrio"/>
    <w:link w:val="AssuntodecomentrioCarter"/>
    <w:uiPriority w:val="99"/>
    <w:semiHidden w:val="1"/>
    <w:unhideWhenUsed w:val="1"/>
    <w:rsid w:val="00676460"/>
    <w:rPr>
      <w:b w:val="1"/>
      <w:bCs w:val="1"/>
    </w:rPr>
  </w:style>
  <w:style w:type="character" w:styleId="AssuntodecomentrioCarter" w:customStyle="1">
    <w:name w:val="Assunto de comentário Caráter"/>
    <w:basedOn w:val="TextodecomentrioCarter"/>
    <w:link w:val="Assuntodecomentrio"/>
    <w:uiPriority w:val="99"/>
    <w:semiHidden w:val="1"/>
    <w:rsid w:val="00676460"/>
    <w:rPr>
      <w:b w:val="1"/>
      <w:bCs w:val="1"/>
      <w:sz w:val="20"/>
      <w:szCs w:val="20"/>
    </w:r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paragraph" w:styleId="ndicedeilustraes">
    <w:name w:val="table of figures"/>
    <w:basedOn w:val="Normal"/>
    <w:next w:val="Normal"/>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CellMar>
        <w:top w:w="0.0" w:type="dxa"/>
        <w:left w:w="115.0" w:type="dxa"/>
        <w:bottom w:w="0.0" w:type="dxa"/>
        <w:right w:w="115.0" w:type="dxa"/>
      </w:tblCellMar>
    </w:tblPr>
  </w:style>
  <w:style w:type="table" w:styleId="a8" w:customStyle="1">
    <w:basedOn w:val="TableNormal0"/>
    <w:tblPr>
      <w:tblStyleRowBandSize w:val="1"/>
      <w:tblStyleColBandSize w:val="1"/>
      <w:tblCellMar>
        <w:top w:w="0.0" w:type="dxa"/>
        <w:left w:w="115.0" w:type="dxa"/>
        <w:bottom w:w="0.0" w:type="dxa"/>
        <w:right w:w="115.0" w:type="dxa"/>
      </w:tblCellMar>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character" w:styleId="MenoNoResolvida">
    <w:name w:val="Unresolved Mention"/>
    <w:basedOn w:val="Tipodeletrapredefinidodopargrafo"/>
    <w:uiPriority w:val="99"/>
    <w:semiHidden w:val="1"/>
    <w:unhideWhenUsed w:val="1"/>
    <w:rsid w:val="00E00075"/>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oidp.net/fr/index.php" TargetMode="External"/><Relationship Id="rId3" Type="http://schemas.openxmlformats.org/officeDocument/2006/relationships/hyperlink" Target="mailto:oidp@ucl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EjFE/rRS//N7axeeoGgGefgE7w==">CgMxLjAyDmgua3h4dDRteHluZzlpMg5oLno5NmI2dm00cDlscDINaC5idGkyM2Rhc3V5MjgAciExclJDa29qREdsMzhaZ19VZGQ5b0lCUVhfTzQwdEJnQk4=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2026-09-14T15:52:00Z</dcterms:created>
  <dc:creator>Giovanni Allegretti</dc:creator>
</cp:coreProperties>
</file>